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pPr>
      <w:r>
        <w:rPr>
          <w:rtl w:val="0"/>
          <w:lang w:val="en-US"/>
        </w:rPr>
        <w:t>Power and States in Politics: Week 8 / Identity: Race, Ethnicity and Kinship</w:t>
      </w:r>
    </w:p>
    <w:p>
      <w:pPr>
        <w:pStyle w:val="Body"/>
      </w:pPr>
    </w:p>
    <w:p>
      <w:pPr>
        <w:pStyle w:val="Body"/>
      </w:pPr>
      <w:r>
        <w:rPr>
          <w:rtl w:val="0"/>
          <w:lang w:val="en-US"/>
        </w:rPr>
        <w:t>Based on your readings of the articles, try to fill in this table to your best ability. Please work on your own / we will discuss in class.</w:t>
      </w:r>
    </w:p>
    <w:p>
      <w:pPr>
        <w:pStyle w:val="Body"/>
      </w:pPr>
    </w:p>
    <w:tbl>
      <w:tblPr>
        <w:tblW w:w="12942" w:type="dxa"/>
        <w:jc w:val="left"/>
        <w:tblInd w:w="115"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1d7"/>
        <w:tblLayout w:type="fixed"/>
      </w:tblPr>
      <w:tblGrid>
        <w:gridCol w:w="1803"/>
        <w:gridCol w:w="1634"/>
        <w:gridCol w:w="1626"/>
        <w:gridCol w:w="1603"/>
        <w:gridCol w:w="1844"/>
        <w:gridCol w:w="1532"/>
        <w:gridCol w:w="1330"/>
        <w:gridCol w:w="1570"/>
      </w:tblGrid>
      <w:tr>
        <w:tblPrEx>
          <w:shd w:val="clear" w:color="auto" w:fill="156082"/>
        </w:tblPrEx>
        <w:trPr>
          <w:trHeight w:val="530" w:hRule="atLeast"/>
          <w:tblHeader/>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Alesina et al</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Lieberman</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Kasara</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Wang</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Wimmer</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Darden /Mylonas</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McMurry</w:t>
            </w:r>
          </w:p>
        </w:tc>
      </w:tr>
      <w:tr>
        <w:tblPrEx>
          <w:shd w:val="clear" w:color="auto" w:fill="cad1d7"/>
        </w:tblPrEx>
        <w:trPr>
          <w:trHeight w:val="289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Explanatory variable</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Ethnic fragmentation</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suppressAutoHyphens w:val="1"/>
              <w:spacing w:before="0" w:line="240" w:lineRule="auto"/>
              <w:jc w:val="left"/>
              <w:rPr>
                <w:rFonts w:ascii="Helvetica" w:cs="Helvetica" w:hAnsi="Helvetica" w:eastAsia="Helvetica"/>
                <w:sz w:val="20"/>
                <w:szCs w:val="20"/>
                <w:lang w:val="en-US"/>
              </w:rPr>
            </w:pPr>
            <w:r>
              <w:rPr>
                <w:rFonts w:ascii="Helvetica" w:hAnsi="Helvetica"/>
                <w:sz w:val="20"/>
                <w:szCs w:val="20"/>
                <w:rtl w:val="0"/>
                <w:lang w:val="en-US"/>
              </w:rPr>
              <w:t>definitions of National Political</w:t>
            </w:r>
          </w:p>
          <w:p>
            <w:pPr>
              <w:pStyle w:val="Default"/>
              <w:suppressAutoHyphens w:val="1"/>
              <w:spacing w:before="0" w:line="240" w:lineRule="auto"/>
              <w:jc w:val="left"/>
              <w:rPr>
                <w:rFonts w:ascii="Helvetica" w:cs="Helvetica" w:hAnsi="Helvetica" w:eastAsia="Helvetica"/>
                <w:sz w:val="20"/>
                <w:szCs w:val="20"/>
                <w:lang w:val="en-US"/>
              </w:rPr>
            </w:pPr>
            <w:r>
              <w:rPr>
                <w:rFonts w:ascii="Helvetica" w:hAnsi="Helvetica"/>
                <w:sz w:val="20"/>
                <w:szCs w:val="20"/>
                <w:rtl w:val="0"/>
                <w:lang w:val="en-US"/>
              </w:rPr>
              <w:t>Community (NPC), varying in terms of how racial and regional cleavages</w:t>
            </w:r>
          </w:p>
          <w:p>
            <w:pPr>
              <w:pStyle w:val="Default"/>
              <w:suppressAutoHyphens w:val="1"/>
              <w:spacing w:before="0" w:line="240" w:lineRule="auto"/>
              <w:jc w:val="left"/>
            </w:pPr>
            <w:r>
              <w:rPr>
                <w:rFonts w:ascii="Helvetica" w:hAnsi="Helvetica"/>
                <w:sz w:val="20"/>
                <w:szCs w:val="20"/>
                <w:rtl w:val="0"/>
                <w:lang w:val="en-US"/>
              </w:rPr>
              <w:t>were addressed in critical constitutions</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Co-ethnicity: if the president or the coalition shares the some ethnicity as the agricultural area.</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Geography of kinship network; Local concentration of kin.</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rtl w:val="0"/>
                <w:lang w:val="en-US"/>
              </w:rPr>
              <w:t>State capacity in the past</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External threats</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Recognition of collective self-governance rights</w:t>
            </w:r>
          </w:p>
        </w:tc>
      </w:tr>
      <w:tr>
        <w:tblPrEx>
          <w:shd w:val="clear" w:color="auto" w:fill="cad1d7"/>
        </w:tblPrEx>
        <w:trPr>
          <w:trHeight w:val="157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Outcome variable</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Public good provision</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Taxation ability on income tax: portion of tax income tax on GDP</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TaxN, TaxR. In general, the real taxation rate.</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Support for reform of state capacity build-up</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rtl w:val="0"/>
                <w:lang w:val="en-US"/>
              </w:rPr>
              <w:t>Contemporary ethnic heterogeneity and public goods provision</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Linguistic commonality</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National identity</w:t>
            </w:r>
          </w:p>
        </w:tc>
      </w:tr>
      <w:tr>
        <w:tblPrEx>
          <w:shd w:val="clear" w:color="auto" w:fill="cad1d7"/>
        </w:tblPrEx>
        <w:trPr>
          <w:trHeight w:val="23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Is the state a causal or outcome variable?</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Outcome variable</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 xml:space="preserve">Both: the states define NPC at some points and they are influenced by the definition at the end. </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A causal variable.</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Outcome variable</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Causal variable</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Causal variable: adoption of national language policy;</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Outcome: territorial integrity.</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Outcome: state weakness</w:t>
            </w:r>
          </w:p>
        </w:tc>
      </w:tr>
      <w:tr>
        <w:tblPrEx>
          <w:shd w:val="clear" w:color="auto" w:fill="cad1d7"/>
        </w:tblPrEx>
        <w:trPr>
          <w:trHeight w:val="391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Key actors</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Members of jurisdiction: they decide how to allocate resources;</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Voters: characterized by features, such as ethnicity and preference. Their need ought to be satisfied.</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States: demanding income tax;</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Upper-income groups: subjects to be taxed</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numPr>
                <w:ilvl w:val="0"/>
                <w:numId w:val="1"/>
              </w:numPr>
              <w:shd w:val="clear" w:color="auto" w:fill="auto"/>
              <w:suppressAutoHyphens w:val="0"/>
              <w:bidi w:val="0"/>
              <w:spacing w:before="0" w:after="0" w:line="240" w:lineRule="auto"/>
              <w:ind w:right="0"/>
              <w:jc w:val="left"/>
              <w:outlineLvl w:val="9"/>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African leaders</w:t>
            </w:r>
          </w:p>
          <w:p>
            <w:pPr>
              <w:keepNext w:val="0"/>
              <w:keepLines w:val="0"/>
              <w:pageBreakBefore w:val="0"/>
              <w:widowControl w:val="1"/>
              <w:numPr>
                <w:ilvl w:val="0"/>
                <w:numId w:val="1"/>
              </w:numPr>
              <w:shd w:val="clear" w:color="auto" w:fill="auto"/>
              <w:suppressAutoHyphens w:val="0"/>
              <w:bidi w:val="0"/>
              <w:spacing w:before="0" w:after="0" w:line="240" w:lineRule="auto"/>
              <w:ind w:right="0"/>
              <w:jc w:val="left"/>
              <w:outlineLvl w:val="9"/>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lang w:val="en-US"/>
                <w14:textOutline>
                  <w14:noFill/>
                </w14:textOutline>
                <w14:textFill>
                  <w14:solidFill>
                    <w14:srgbClr w14:val="000000"/>
                  </w14:solidFill>
                </w14:textFill>
              </w:rPr>
              <w:t>Farmers</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Political elites; actors in the kinship network</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States</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States</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States: recognize collective self-governance rights;</w:t>
            </w: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p>
          <w:p>
            <w:pPr>
              <w:keepNext w:val="0"/>
              <w:keepLines w:val="0"/>
              <w:pageBreakBefore w:val="0"/>
              <w:widowControl w:val="1"/>
              <w:shd w:val="clear" w:color="auto" w:fill="auto"/>
              <w:suppressAutoHyphens w:val="0"/>
              <w:bidi w:val="0"/>
              <w:spacing w:before="0" w:after="0" w:line="240" w:lineRule="auto"/>
              <w:ind w:left="0" w:right="0" w:firstLine="0"/>
              <w:jc w:val="left"/>
              <w:outlineLvl w:val="9"/>
              <w:rPr>
                <w:rtl w:val="0"/>
              </w:rPr>
            </w:pPr>
            <w:r>
              <w:rPr>
                <w:rFonts w:ascii="Aptos Display" w:cs="Aptos Display" w:hAnsi="Aptos Display" w:eastAsia="Aptos Display"/>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rtl w:val="0"/>
                <w14:textOutline>
                  <w14:noFill/>
                </w14:textOutline>
                <w14:textFill>
                  <w14:solidFill>
                    <w14:srgbClr w14:val="000000"/>
                  </w14:solidFill>
                </w14:textFill>
              </w:rPr>
              <w:t>Citizen: recognize the state</w:t>
            </w:r>
          </w:p>
        </w:tc>
      </w:tr>
      <w:tr>
        <w:tblPrEx>
          <w:shd w:val="clear" w:color="auto" w:fill="cad1d7"/>
        </w:tblPrEx>
        <w:trPr>
          <w:trHeight w:val="851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 xml:space="preserve">Key argument relating cause to effect / </w:t>
            </w:r>
            <w:r>
              <w:rPr>
                <w:rFonts w:ascii="Aptos Display" w:cs="Aptos Display" w:hAnsi="Aptos Display" w:eastAsia="Aptos Display"/>
                <w:b w:val="1"/>
                <w:bCs w:val="1"/>
                <w:sz w:val="22"/>
                <w:szCs w:val="22"/>
                <w:shd w:val="nil" w:color="auto" w:fill="auto"/>
                <w:rtl w:val="0"/>
                <w:lang w:val="en-US"/>
              </w:rPr>
              <w:t>“</w:t>
            </w:r>
            <w:r>
              <w:rPr>
                <w:rFonts w:ascii="Aptos Display" w:cs="Aptos Display" w:hAnsi="Aptos Display" w:eastAsia="Aptos Display"/>
                <w:b w:val="1"/>
                <w:bCs w:val="1"/>
                <w:sz w:val="22"/>
                <w:szCs w:val="22"/>
                <w:shd w:val="nil" w:color="auto" w:fill="auto"/>
                <w:rtl w:val="0"/>
                <w:lang w:val="en-US"/>
              </w:rPr>
              <w:t>mechanism</w:t>
            </w:r>
            <w:r>
              <w:rPr>
                <w:rFonts w:ascii="Aptos Display" w:cs="Aptos Display" w:hAnsi="Aptos Display" w:eastAsia="Aptos Display"/>
                <w:b w:val="1"/>
                <w:bCs w:val="1"/>
                <w:sz w:val="22"/>
                <w:szCs w:val="22"/>
                <w:shd w:val="nil" w:color="auto" w:fill="auto"/>
                <w:rtl w:val="0"/>
                <w:lang w:val="en-US"/>
              </w:rPr>
              <w:t>”</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Polarization makes the equilibrium point of public good provision lower that maximizes the overall utility function.</w:t>
            </w:r>
          </w:p>
          <w:p>
            <w:pPr>
              <w:pStyle w:val="Body"/>
              <w:rPr>
                <w:rFonts w:ascii="Aptos Display" w:cs="Aptos Display" w:hAnsi="Aptos Display" w:eastAsia="Aptos Display"/>
                <w:sz w:val="22"/>
                <w:szCs w:val="22"/>
                <w:shd w:val="nil" w:color="auto" w:fill="auto"/>
                <w:lang w:val="en-US"/>
              </w:rPr>
            </w:pPr>
          </w:p>
          <w:p>
            <w:pPr>
              <w:pStyle w:val="Body"/>
            </w:pPr>
            <w:r>
              <w:rPr>
                <w:rFonts w:ascii="Aptos Display" w:cs="Aptos Display" w:hAnsi="Aptos Display" w:eastAsia="Aptos Display"/>
                <w:sz w:val="22"/>
                <w:szCs w:val="22"/>
                <w:shd w:val="nil" w:color="auto" w:fill="auto"/>
                <w:rtl w:val="0"/>
                <w:lang w:val="en-US"/>
              </w:rPr>
              <w:t>Voters choose lower public goods when a significant fraction of tax revenues collected on one ethnic groups are used to provide public goods shared with other ethnic groups.</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rtl w:val="0"/>
                <w:lang w:val="en-US"/>
              </w:rPr>
              <w:t xml:space="preserve">The definition of political community creates a sense of </w:t>
            </w:r>
            <w:r>
              <w:rPr>
                <w:rFonts w:ascii="Aptos Display" w:cs="Aptos Display" w:hAnsi="Aptos Display" w:eastAsia="Aptos Display"/>
                <w:sz w:val="22"/>
                <w:szCs w:val="22"/>
                <w:rtl w:val="0"/>
                <w:lang w:val="en-US"/>
              </w:rPr>
              <w:t>“</w:t>
            </w:r>
            <w:r>
              <w:rPr>
                <w:rFonts w:ascii="Aptos Display" w:cs="Aptos Display" w:hAnsi="Aptos Display" w:eastAsia="Aptos Display"/>
                <w:sz w:val="22"/>
                <w:szCs w:val="22"/>
                <w:rtl w:val="0"/>
                <w:lang w:val="en-US"/>
              </w:rPr>
              <w:t>us</w:t>
            </w:r>
            <w:r>
              <w:rPr>
                <w:rFonts w:ascii="Aptos Display" w:cs="Aptos Display" w:hAnsi="Aptos Display" w:eastAsia="Aptos Display"/>
                <w:sz w:val="22"/>
                <w:szCs w:val="22"/>
                <w:rtl w:val="0"/>
                <w:lang w:val="en-US"/>
              </w:rPr>
              <w:t xml:space="preserve">” </w:t>
            </w:r>
            <w:r>
              <w:rPr>
                <w:rFonts w:ascii="Aptos Display" w:cs="Aptos Display" w:hAnsi="Aptos Display" w:eastAsia="Aptos Display"/>
                <w:sz w:val="22"/>
                <w:szCs w:val="22"/>
                <w:rtl w:val="0"/>
                <w:lang w:val="en-US"/>
              </w:rPr>
              <w:t>and others so that give the low-income whites the ability to demand upper-income classes. Cohesion being created, the state is able to extract income-tax.</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Conventional wisdom: leaders would favor farmers of the same ethnicity.</w:t>
            </w:r>
          </w:p>
          <w:p>
            <w:pPr>
              <w:pStyle w:val="Body"/>
              <w:rPr>
                <w:rFonts w:ascii="Aptos Display" w:cs="Aptos Display" w:hAnsi="Aptos Display" w:eastAsia="Aptos Display"/>
                <w:sz w:val="22"/>
                <w:szCs w:val="22"/>
                <w:shd w:val="nil" w:color="auto" w:fill="auto"/>
                <w:lang w:val="en-US"/>
              </w:rPr>
            </w:pPr>
          </w:p>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It is easier for the political leader to exert influence and enact policy upon groups of the same ethnicity.</w:t>
            </w:r>
          </w:p>
          <w:p>
            <w:pPr>
              <w:pStyle w:val="Body"/>
              <w:rPr>
                <w:rFonts w:ascii="Aptos Display" w:cs="Aptos Display" w:hAnsi="Aptos Display" w:eastAsia="Aptos Display"/>
                <w:sz w:val="22"/>
                <w:szCs w:val="22"/>
                <w:shd w:val="nil" w:color="auto" w:fill="auto"/>
                <w:lang w:val="en-US"/>
              </w:rPr>
            </w:pPr>
          </w:p>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They have no alternative and no bargain ability.</w:t>
            </w:r>
          </w:p>
          <w:p>
            <w:pPr>
              <w:pStyle w:val="Body"/>
              <w:rPr>
                <w:rFonts w:ascii="Aptos Display" w:cs="Aptos Display" w:hAnsi="Aptos Display" w:eastAsia="Aptos Display"/>
                <w:sz w:val="22"/>
                <w:szCs w:val="22"/>
                <w:shd w:val="nil" w:color="auto" w:fill="auto"/>
                <w:lang w:val="en-US"/>
              </w:rPr>
            </w:pPr>
          </w:p>
          <w:p>
            <w:pPr>
              <w:pStyle w:val="Body"/>
            </w:pPr>
            <w:r>
              <w:rPr>
                <w:rFonts w:ascii="Aptos Display" w:cs="Aptos Display" w:hAnsi="Aptos Display" w:eastAsia="Aptos Display"/>
                <w:sz w:val="22"/>
                <w:szCs w:val="22"/>
                <w:shd w:val="nil" w:color="auto" w:fill="auto"/>
                <w:rtl w:val="0"/>
                <w:lang w:val="en-US"/>
              </w:rPr>
              <w:t>The less bargaining ability, the higher the taxation rate will be imposed.</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The type of kinship-based institutions matters for state building: kinship networks, when geographically dispersed, crosscut local cleavages and align the incentives of self-interested elites in favor of building a strong state.</w:t>
            </w:r>
          </w:p>
          <w:p>
            <w:pPr>
              <w:pStyle w:val="Body"/>
            </w:pPr>
            <w:r>
              <w:rPr>
                <w:rFonts w:ascii="Aptos Display" w:cs="Aptos Display" w:hAnsi="Aptos Display" w:eastAsia="Aptos Display"/>
                <w:sz w:val="22"/>
                <w:szCs w:val="22"/>
                <w:shd w:val="nil" w:color="auto" w:fill="auto"/>
                <w:rtl w:val="0"/>
                <w:lang w:val="en-US"/>
              </w:rPr>
              <w:t>With a strong state, geographically dispersed kinship network could gain protection and exert influence with a lower cost, while locally concentrated network could gain resources and protection with a lower cost.</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Diversity and the state</w:t>
            </w:r>
            <w:r>
              <w:rPr>
                <w:rFonts w:ascii="Aptos Display" w:cs="Aptos Display" w:hAnsi="Aptos Display" w:eastAsia="Aptos Display"/>
                <w:sz w:val="22"/>
                <w:szCs w:val="22"/>
                <w:shd w:val="nil" w:color="auto" w:fill="auto"/>
                <w:rtl w:val="0"/>
                <w:lang w:val="en-US"/>
              </w:rPr>
              <w:t>’</w:t>
            </w:r>
            <w:r>
              <w:rPr>
                <w:rFonts w:ascii="Aptos Display" w:cs="Aptos Display" w:hAnsi="Aptos Display" w:eastAsia="Aptos Display"/>
                <w:sz w:val="22"/>
                <w:szCs w:val="22"/>
                <w:shd w:val="nil" w:color="auto" w:fill="auto"/>
                <w:rtl w:val="0"/>
                <w:lang w:val="en-US"/>
              </w:rPr>
              <w:t>s capacity to public goods may both result from a previous history of state formation.</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 xml:space="preserve">When facing external threats, states are more incentivized to promote mass schooling in pursuit of national cohesion, a consequence of which is a higher linguistic commonality. </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 xml:space="preserve">Recognizing the local governance can increase state control by making indigenous communities more </w:t>
            </w:r>
            <w:r>
              <w:rPr>
                <w:rFonts w:ascii="Aptos Display" w:cs="Aptos Display" w:hAnsi="Aptos Display" w:eastAsia="Aptos Display"/>
                <w:sz w:val="22"/>
                <w:szCs w:val="22"/>
                <w:shd w:val="nil" w:color="auto" w:fill="auto"/>
                <w:rtl w:val="0"/>
                <w:lang w:val="en-US"/>
              </w:rPr>
              <w:t>“</w:t>
            </w:r>
            <w:r>
              <w:rPr>
                <w:rFonts w:ascii="Aptos Display" w:cs="Aptos Display" w:hAnsi="Aptos Display" w:eastAsia="Aptos Display"/>
                <w:sz w:val="22"/>
                <w:szCs w:val="22"/>
                <w:shd w:val="nil" w:color="auto" w:fill="auto"/>
                <w:rtl w:val="0"/>
                <w:lang w:val="en-US"/>
              </w:rPr>
              <w:t>legible</w:t>
            </w: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and redefining indigenous authority structures on terms controlled by the state.</w:t>
            </w:r>
          </w:p>
        </w:tc>
      </w:tr>
      <w:tr>
        <w:tblPrEx>
          <w:shd w:val="clear" w:color="auto" w:fill="cad1d7"/>
        </w:tblPrEx>
        <w:trPr>
          <w:trHeight w:val="851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Key evidence / and cases to demonstrate the claim</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lang w:val="en-US"/>
              </w:rPr>
            </w:pPr>
            <w:r>
              <w:rPr>
                <w:rFonts w:ascii="Aptos Display" w:cs="Aptos Display" w:hAnsi="Aptos Display" w:eastAsia="Aptos Display"/>
                <w:sz w:val="22"/>
                <w:szCs w:val="22"/>
                <w:rtl w:val="0"/>
                <w:lang w:val="en-US"/>
              </w:rPr>
              <w:t>Ethnicity affect fiscal aggregate, expenditure share and transfer from higher level government.</w:t>
            </w:r>
          </w:p>
          <w:p>
            <w:pPr>
              <w:pStyle w:val="Body"/>
              <w:rPr>
                <w:rFonts w:ascii="Aptos Display" w:cs="Aptos Display" w:hAnsi="Aptos Display" w:eastAsia="Aptos Display"/>
                <w:sz w:val="22"/>
                <w:szCs w:val="22"/>
                <w:lang w:val="en-US"/>
              </w:rPr>
            </w:pPr>
          </w:p>
          <w:p>
            <w:pPr>
              <w:pStyle w:val="Default"/>
              <w:suppressAutoHyphens w:val="1"/>
              <w:spacing w:before="0" w:line="240" w:lineRule="auto"/>
              <w:jc w:val="left"/>
              <w:rPr>
                <w:rFonts w:ascii="Helvetica" w:cs="Helvetica" w:hAnsi="Helvetica" w:eastAsia="Helvetica"/>
                <w:sz w:val="20"/>
                <w:szCs w:val="20"/>
              </w:rPr>
            </w:pPr>
            <w:r>
              <w:rPr>
                <w:rFonts w:ascii="Helvetica" w:hAnsi="Helvetica"/>
                <w:sz w:val="20"/>
                <w:szCs w:val="20"/>
                <w:rtl w:val="0"/>
                <w:lang w:val="en-US"/>
              </w:rPr>
              <w:t>More ethnically diverse jurisdictions in the United States</w:t>
            </w:r>
          </w:p>
          <w:p>
            <w:pPr>
              <w:pStyle w:val="Default"/>
              <w:suppressAutoHyphens w:val="1"/>
              <w:spacing w:before="0" w:line="240" w:lineRule="auto"/>
              <w:jc w:val="left"/>
              <w:rPr>
                <w:rFonts w:ascii="Helvetica" w:cs="Helvetica" w:hAnsi="Helvetica" w:eastAsia="Helvetica"/>
                <w:sz w:val="20"/>
                <w:szCs w:val="20"/>
              </w:rPr>
            </w:pPr>
            <w:r>
              <w:rPr>
                <w:rFonts w:ascii="Helvetica" w:hAnsi="Helvetica"/>
                <w:sz w:val="20"/>
                <w:szCs w:val="20"/>
                <w:rtl w:val="0"/>
                <w:lang w:val="en-US"/>
              </w:rPr>
              <w:t>have higher spending and higher de</w:t>
            </w:r>
            <w:r>
              <w:rPr>
                <w:rFonts w:ascii="Helvetica" w:hAnsi="Helvetica"/>
                <w:sz w:val="20"/>
                <w:szCs w:val="20"/>
                <w:rtl w:val="0"/>
                <w:lang w:val="en-US"/>
              </w:rPr>
              <w:t>fi</w:t>
            </w:r>
            <w:r>
              <w:rPr>
                <w:rFonts w:ascii="Helvetica" w:hAnsi="Helvetica"/>
                <w:sz w:val="20"/>
                <w:szCs w:val="20"/>
                <w:rtl w:val="0"/>
                <w:lang w:val="en-US"/>
              </w:rPr>
              <w:t>cits/debt per capita, and yet</w:t>
            </w:r>
          </w:p>
          <w:p>
            <w:pPr>
              <w:pStyle w:val="Default"/>
              <w:suppressAutoHyphens w:val="1"/>
              <w:spacing w:before="0" w:line="240" w:lineRule="auto"/>
              <w:jc w:val="left"/>
              <w:rPr>
                <w:rFonts w:ascii="Helvetica" w:cs="Helvetica" w:hAnsi="Helvetica" w:eastAsia="Helvetica"/>
                <w:sz w:val="20"/>
                <w:szCs w:val="20"/>
              </w:rPr>
            </w:pPr>
            <w:r>
              <w:rPr>
                <w:rFonts w:ascii="Helvetica" w:hAnsi="Helvetica"/>
                <w:sz w:val="20"/>
                <w:szCs w:val="20"/>
                <w:rtl w:val="0"/>
                <w:lang w:val="en-US"/>
              </w:rPr>
              <w:t>devote lower shares of spending to core public goods like education</w:t>
            </w:r>
          </w:p>
          <w:p>
            <w:pPr>
              <w:pStyle w:val="Default"/>
              <w:suppressAutoHyphens w:val="1"/>
              <w:spacing w:before="0" w:line="240" w:lineRule="auto"/>
              <w:jc w:val="left"/>
              <w:rPr>
                <w:rFonts w:ascii="Helvetica" w:cs="Helvetica" w:hAnsi="Helvetica" w:eastAsia="Helvetica"/>
                <w:sz w:val="20"/>
                <w:szCs w:val="20"/>
              </w:rPr>
            </w:pPr>
            <w:r>
              <w:rPr>
                <w:rFonts w:ascii="Helvetica" w:hAnsi="Helvetica"/>
                <w:sz w:val="20"/>
                <w:szCs w:val="20"/>
                <w:rtl w:val="0"/>
                <w:lang w:val="en-US"/>
              </w:rPr>
              <w:t>and roads. The higher spending in more ethnically diverse</w:t>
            </w:r>
          </w:p>
          <w:p>
            <w:pPr>
              <w:pStyle w:val="Default"/>
              <w:suppressAutoHyphens w:val="1"/>
              <w:spacing w:before="0" w:line="240" w:lineRule="auto"/>
              <w:jc w:val="left"/>
              <w:rPr>
                <w:rFonts w:ascii="Helvetica" w:cs="Helvetica" w:hAnsi="Helvetica" w:eastAsia="Helvetica"/>
                <w:sz w:val="20"/>
                <w:szCs w:val="20"/>
              </w:rPr>
            </w:pPr>
            <w:r>
              <w:rPr>
                <w:rFonts w:ascii="Helvetica" w:hAnsi="Helvetica"/>
                <w:sz w:val="20"/>
                <w:szCs w:val="20"/>
                <w:rtl w:val="0"/>
                <w:lang w:val="en-US"/>
              </w:rPr>
              <w:t xml:space="preserve">jurisdictions is </w:t>
            </w:r>
            <w:r>
              <w:rPr>
                <w:rFonts w:ascii="Helvetica" w:hAnsi="Helvetica"/>
                <w:sz w:val="20"/>
                <w:szCs w:val="20"/>
                <w:rtl w:val="0"/>
                <w:lang w:val="en-US"/>
              </w:rPr>
              <w:t>fi</w:t>
            </w:r>
            <w:r>
              <w:rPr>
                <w:rFonts w:ascii="Helvetica" w:hAnsi="Helvetica"/>
                <w:sz w:val="20"/>
                <w:szCs w:val="20"/>
                <w:rtl w:val="0"/>
                <w:lang w:val="en-US"/>
              </w:rPr>
              <w:t>nanced in part by higher intergovernmental</w:t>
            </w:r>
          </w:p>
          <w:p>
            <w:pPr>
              <w:pStyle w:val="Default"/>
              <w:suppressAutoHyphens w:val="1"/>
              <w:spacing w:before="0" w:line="240" w:lineRule="auto"/>
              <w:jc w:val="left"/>
            </w:pPr>
            <w:r>
              <w:rPr>
                <w:rFonts w:ascii="Helvetica" w:hAnsi="Helvetica"/>
                <w:sz w:val="20"/>
                <w:szCs w:val="20"/>
                <w:rtl w:val="0"/>
                <w:lang w:val="en-US"/>
              </w:rPr>
              <w:t>transfers rather than by local taxes.</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Brazil and South Africa are similar in many aspects. However, South Africa shows a stronger ability in extracting income tax, which is reflected in the proportion of income tax over GDP.</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1. The co-ethnicity of president is associated with a higher taxation rate;</w:t>
            </w:r>
          </w:p>
          <w:p>
            <w:pPr>
              <w:pStyle w:val="Body"/>
            </w:pPr>
            <w:r>
              <w:rPr>
                <w:rFonts w:ascii="Aptos Display" w:cs="Aptos Display" w:hAnsi="Aptos Display" w:eastAsia="Aptos Display"/>
                <w:sz w:val="22"/>
                <w:szCs w:val="22"/>
                <w:shd w:val="nil" w:color="auto" w:fill="auto"/>
                <w:rtl w:val="0"/>
                <w:lang w:val="en-US"/>
              </w:rPr>
              <w:t>2. Contest in the election brings down the originally positive association;</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Politicians embedded in a geographically dispersed network are more likely to support the reform of building up state capacity.</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Indonesia, faced with substantial external threats soon after its independence, chose to promote national mass schooling to create a dominance of the official language;</w:t>
            </w:r>
          </w:p>
          <w:p>
            <w:pPr>
              <w:pStyle w:val="Body"/>
            </w:pPr>
            <w:r>
              <w:rPr>
                <w:rFonts w:ascii="Aptos Display" w:cs="Aptos Display" w:hAnsi="Aptos Display" w:eastAsia="Aptos Display"/>
                <w:sz w:val="22"/>
                <w:szCs w:val="22"/>
                <w:shd w:val="nil" w:color="auto" w:fill="auto"/>
                <w:rtl w:val="0"/>
                <w:lang w:val="en-US"/>
              </w:rPr>
              <w:t>Congo, on the contrary, having a comparable level of linguistic diversity but no substantial external threats, did not choose to promote a single lan</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Using DiD, this study finds that after titling, the national identity increases. In the language of the original results, with higher proportion of titled groups, there comes with higher indigenous identification.</w:t>
            </w:r>
          </w:p>
        </w:tc>
      </w:tr>
      <w:tr>
        <w:tblPrEx>
          <w:shd w:val="clear" w:color="auto" w:fill="cad1d7"/>
        </w:tblPrEx>
        <w:trPr>
          <w:trHeight w:val="313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Way in which identity-based variables are conceptualized/ measured? Are they exogenous?</w:t>
            </w:r>
            <w:r>
              <w:rPr>
                <w:rFonts w:ascii="Aptos Display" w:cs="Aptos Display" w:hAnsi="Aptos Display" w:eastAsia="Aptos Display"/>
                <w:b w:val="1"/>
                <w:bCs w:val="1"/>
                <w:sz w:val="22"/>
                <w:szCs w:val="22"/>
                <w:shd w:val="nil" w:color="auto" w:fill="auto"/>
              </w:rPr>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ethnic frationalizationindex. Probability of two randomly selected units being of the same race.</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Inception of NPC. It</w:t>
            </w:r>
            <w:r>
              <w:rPr>
                <w:rFonts w:ascii="Aptos Display" w:cs="Aptos Display" w:hAnsi="Aptos Display" w:eastAsia="Aptos Display"/>
                <w:sz w:val="22"/>
                <w:szCs w:val="22"/>
                <w:shd w:val="nil" w:color="auto" w:fill="auto"/>
                <w:rtl w:val="0"/>
                <w:lang w:val="en-US"/>
              </w:rPr>
              <w:t>’</w:t>
            </w:r>
            <w:r>
              <w:rPr>
                <w:rFonts w:ascii="Aptos Display" w:cs="Aptos Display" w:hAnsi="Aptos Display" w:eastAsia="Aptos Display"/>
                <w:sz w:val="22"/>
                <w:szCs w:val="22"/>
                <w:shd w:val="nil" w:color="auto" w:fill="auto"/>
                <w:rtl w:val="0"/>
                <w:lang w:val="en-US"/>
              </w:rPr>
              <w:t>s not exogenous.</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An indicator variable if the president is of the same ethnicity as a specific region;</w:t>
            </w:r>
          </w:p>
          <w:p>
            <w:pPr>
              <w:pStyle w:val="Body"/>
            </w:pPr>
            <w:r>
              <w:rPr>
                <w:rFonts w:ascii="Aptos Display" w:cs="Aptos Display" w:hAnsi="Aptos Display" w:eastAsia="Aptos Display"/>
                <w:sz w:val="22"/>
                <w:szCs w:val="22"/>
                <w:shd w:val="nil" w:color="auto" w:fill="auto"/>
                <w:rtl w:val="0"/>
                <w:lang w:val="en-US"/>
              </w:rPr>
              <w:t>An indicator variable if the coalition comes from the the region.</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rtl w:val="0"/>
                <w:lang w:val="en-US"/>
              </w:rPr>
              <w:t>Key variable: type of kinship network.</w:t>
            </w:r>
          </w:p>
          <w:p>
            <w:pPr>
              <w:pStyle w:val="Body"/>
            </w:pPr>
            <w:r>
              <w:rPr>
                <w:rFonts w:ascii="Aptos Display" w:cs="Aptos Display" w:hAnsi="Aptos Display" w:eastAsia="Aptos Display"/>
                <w:sz w:val="22"/>
                <w:szCs w:val="22"/>
                <w:rtl w:val="0"/>
                <w:lang w:val="en-US"/>
              </w:rPr>
              <w:t>Measurement: the sum weighted geographic distance between kins.</w:t>
            </w:r>
          </w:p>
          <w:p>
            <w:pPr>
              <w:pStyle w:val="Body"/>
            </w:pPr>
            <w:r>
              <w:rPr>
                <w:rFonts w:ascii="Aptos Display" w:cs="Aptos Display" w:hAnsi="Aptos Display" w:eastAsia="Aptos Display"/>
                <w:sz w:val="22"/>
                <w:szCs w:val="22"/>
                <w:rtl w:val="0"/>
                <w:lang w:val="en-US"/>
              </w:rPr>
              <w:t>Not exogenous.</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numPr>
                <w:ilvl w:val="0"/>
                <w:numId w:val="2"/>
              </w:numPr>
              <w:rPr>
                <w:rFonts w:ascii="Aptos Display" w:cs="Aptos Display" w:hAnsi="Aptos Display" w:eastAsia="Aptos Display"/>
                <w:sz w:val="22"/>
                <w:szCs w:val="22"/>
                <w:lang w:val="en-US"/>
              </w:rPr>
            </w:pPr>
            <w:r>
              <w:rPr>
                <w:rFonts w:ascii="Aptos Display" w:cs="Aptos Display" w:hAnsi="Aptos Display" w:eastAsia="Aptos Display"/>
                <w:sz w:val="22"/>
                <w:szCs w:val="22"/>
                <w:shd w:val="nil" w:color="auto" w:fill="auto"/>
                <w:rtl w:val="0"/>
                <w:lang w:val="en-US"/>
              </w:rPr>
              <w:t>Subnational identification;</w:t>
            </w:r>
          </w:p>
          <w:p>
            <w:pPr>
              <w:pStyle w:val="Body"/>
              <w:numPr>
                <w:ilvl w:val="0"/>
                <w:numId w:val="2"/>
              </w:numPr>
              <w:rPr>
                <w:rFonts w:ascii="Aptos Display" w:cs="Aptos Display" w:hAnsi="Aptos Display" w:eastAsia="Aptos Display"/>
                <w:sz w:val="22"/>
                <w:szCs w:val="22"/>
                <w:lang w:val="en-US"/>
              </w:rPr>
            </w:pPr>
            <w:r>
              <w:rPr>
                <w:rFonts w:ascii="Aptos Display" w:cs="Aptos Display" w:hAnsi="Aptos Display" w:eastAsia="Aptos Display"/>
                <w:sz w:val="22"/>
                <w:szCs w:val="22"/>
                <w:shd w:val="nil" w:color="auto" w:fill="auto"/>
                <w:rtl w:val="0"/>
                <w:lang w:val="en-US"/>
              </w:rPr>
              <w:t>Compliance with the state: birth registration.</w:t>
            </w:r>
          </w:p>
        </w:tc>
      </w:tr>
      <w:tr>
        <w:tblPrEx>
          <w:shd w:val="clear" w:color="auto" w:fill="cad1d7"/>
        </w:tblPrEx>
        <w:trPr>
          <w:trHeight w:val="417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How identity variables affect preferences / behaviors? (if at all)</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In Brazil, NPC equalizes all ethnic groups legally. In South Africa, NPC maintains the white supremacy. Thus, the Whites in South Africa have the handle to create cohesion.</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Identity-based variables reduce the bargaining power of farmers, because they have few alternatives.</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Sense of belonging to a large network which is more geographically dispersed makes political elites in favor of a more universal form of institutions and rules.</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r>
      <w:tr>
        <w:tblPrEx>
          <w:shd w:val="clear" w:color="auto" w:fill="cad1d7"/>
        </w:tblPrEx>
        <w:trPr>
          <w:trHeight w:val="339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b w:val="1"/>
                <w:bCs w:val="1"/>
                <w:sz w:val="22"/>
                <w:szCs w:val="22"/>
                <w:shd w:val="nil" w:color="auto" w:fill="auto"/>
                <w:rtl w:val="0"/>
                <w:lang w:val="en-US"/>
              </w:rPr>
              <w:t>Future research? Concerns?</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State weakness creates such a difference at the very beginning?</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The types of co-ethnicity matter. Only when the interests of the political leaders are embedded in the network, will co-ethnicity matter and bring benefits.</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Following the same logic, if the network where elites embed in is globally dispersed, would they go beyond states and in favor of policies that may hamper state building?</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The validity of measurement of outcomes: is birth registration a valid measure of identity?</w:t>
            </w:r>
          </w:p>
        </w:tc>
      </w:tr>
      <w:tr>
        <w:tblPrEx>
          <w:shd w:val="clear" w:color="auto" w:fill="cad1d7"/>
        </w:tblPrEx>
        <w:trPr>
          <w:trHeight w:val="2350" w:hRule="atLeast"/>
        </w:trPr>
        <w:tc>
          <w:tcPr>
            <w:tcW w:type="dxa" w:w="18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1"/>
            </w:pPr>
            <w:r>
              <w:rPr>
                <w:rFonts w:ascii="Aptos Display" w:cs="Aptos Display" w:hAnsi="Aptos Display" w:eastAsia="Aptos Display"/>
                <w:b w:val="1"/>
                <w:bCs w:val="1"/>
                <w:sz w:val="22"/>
                <w:szCs w:val="22"/>
                <w:shd w:val="nil" w:color="auto" w:fill="auto"/>
                <w:rtl w:val="0"/>
                <w:lang w:val="en-US"/>
              </w:rPr>
              <w:t>Scope conditions or universe of cases</w:t>
            </w:r>
          </w:p>
        </w:tc>
        <w:tc>
          <w:tcPr>
            <w:tcW w:type="dxa" w:w="16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1. United States;</w:t>
            </w:r>
          </w:p>
          <w:p>
            <w:pPr>
              <w:pStyle w:val="Body"/>
            </w:pPr>
            <w:r>
              <w:rPr>
                <w:rFonts w:ascii="Aptos Display" w:cs="Aptos Display" w:hAnsi="Aptos Display" w:eastAsia="Aptos Display"/>
                <w:sz w:val="22"/>
                <w:szCs w:val="22"/>
                <w:shd w:val="nil" w:color="auto" w:fill="auto"/>
                <w:rtl w:val="0"/>
                <w:lang w:val="en-US"/>
              </w:rPr>
              <w:t>2. Democratic states with racial diversity.</w:t>
            </w:r>
          </w:p>
        </w:tc>
        <w:tc>
          <w:tcPr>
            <w:tcW w:type="dxa" w:w="16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ptos Display" w:cs="Aptos Display" w:hAnsi="Aptos Display" w:eastAsia="Aptos Display"/>
                <w:sz w:val="22"/>
                <w:szCs w:val="22"/>
                <w:shd w:val="nil" w:color="auto" w:fill="auto"/>
                <w:lang w:val="en-US"/>
              </w:rPr>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1. Brazil v.s. South Africa;</w:t>
            </w:r>
          </w:p>
          <w:p>
            <w:pPr>
              <w:pStyle w:val="Body"/>
            </w:pPr>
            <w:r>
              <w:rPr>
                <w:rFonts w:ascii="Aptos Display" w:cs="Aptos Display" w:hAnsi="Aptos Display" w:eastAsia="Aptos Display"/>
                <w:sz w:val="22"/>
                <w:szCs w:val="22"/>
                <w:shd w:val="nil" w:color="auto" w:fill="auto"/>
                <w:rtl w:val="0"/>
                <w:lang w:val="en-US"/>
              </w:rPr>
              <w:t>2. States with racial diversity.</w:t>
            </w:r>
          </w:p>
        </w:tc>
        <w:tc>
          <w:tcPr>
            <w:tcW w:type="dxa" w:w="16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African states. The reasoning is arguably applicable to states other than African states.</w:t>
            </w:r>
          </w:p>
        </w:tc>
        <w:tc>
          <w:tcPr>
            <w:tcW w:type="dxa" w:w="18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In theory, all the states. However, some regions may not have states with characteristics as described in this paper, i.e. as China.</w:t>
            </w:r>
          </w:p>
        </w:tc>
        <w:tc>
          <w:tcPr>
            <w:tcW w:type="dxa" w:w="153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All the states</w:t>
            </w:r>
          </w:p>
        </w:tc>
        <w:tc>
          <w:tcPr>
            <w:tcW w:type="dxa" w:w="1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Modern states with high linguistic diversity. Or, in short, modern states.</w:t>
            </w:r>
          </w:p>
        </w:tc>
        <w:tc>
          <w:tcPr>
            <w:tcW w:type="dxa" w:w="15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ptos Display" w:cs="Aptos Display" w:hAnsi="Aptos Display" w:eastAsia="Aptos Display"/>
                <w:sz w:val="22"/>
                <w:szCs w:val="22"/>
                <w:shd w:val="nil" w:color="auto" w:fill="auto"/>
                <w:rtl w:val="0"/>
                <w:lang w:val="en-US"/>
              </w:rPr>
              <w:t xml:space="preserve"> </w:t>
            </w:r>
            <w:r>
              <w:rPr>
                <w:rFonts w:ascii="Aptos Display" w:cs="Aptos Display" w:hAnsi="Aptos Display" w:eastAsia="Aptos Display"/>
                <w:sz w:val="22"/>
                <w:szCs w:val="22"/>
                <w:shd w:val="nil" w:color="auto" w:fill="auto"/>
                <w:rtl w:val="0"/>
                <w:lang w:val="en-US"/>
              </w:rPr>
              <w:t>Subnational units</w:t>
            </w:r>
          </w:p>
        </w:tc>
      </w:tr>
    </w:tbl>
    <w:p>
      <w:pPr>
        <w:pStyle w:val="Body"/>
        <w:widowControl w:val="0"/>
        <w:ind w:left="7" w:hanging="7"/>
      </w:pPr>
    </w:p>
    <w:p>
      <w:pPr>
        <w:pStyle w:val="Body"/>
        <w:rPr>
          <w:rFonts w:ascii="Aptos Display" w:cs="Aptos Display" w:hAnsi="Aptos Display" w:eastAsia="Aptos Display"/>
          <w:sz w:val="22"/>
          <w:szCs w:val="22"/>
        </w:rPr>
      </w:pPr>
    </w:p>
    <w:p>
      <w:pPr>
        <w:pStyle w:val="Body"/>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Public Goods and Ethnic Divisions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it-IT"/>
        </w:rPr>
        <w:t>Alberto Alesina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We present a model that links heterogeneity of preferences across ethnic groups in a city to the amount and type of public goods the city supplies.</w:t>
      </w:r>
      <w:r>
        <w:rPr>
          <w:rFonts w:ascii="Times Roman" w:cs="Times Roman" w:hAnsi="Times Roman" w:eastAsia="Times Roman"/>
        </w:rPr>
        <w:br w:type="textWrapping"/>
      </w:r>
      <w:r>
        <w:rPr>
          <w:rFonts w:ascii="Times Roman" w:hAnsi="Times Roman"/>
          <w:rtl w:val="0"/>
          <w:lang w:val="en-US"/>
        </w:rPr>
        <w:t>We test the implications of the model with three related data sets: U.S. cities, U.S. metropolitan areas, and U.S. urban counties. Results show that the shares of spending on productive public goods</w:t>
      </w:r>
      <w:r>
        <w:rPr>
          <w:rFonts w:ascii="Times Roman" w:hAnsi="Times Roman" w:hint="default"/>
          <w:rtl w:val="0"/>
          <w:lang w:val="en-US"/>
        </w:rPr>
        <w:t>—</w:t>
      </w:r>
      <w:r>
        <w:rPr>
          <w:rFonts w:ascii="Times Roman" w:hAnsi="Times Roman"/>
          <w:rtl w:val="0"/>
          <w:lang w:val="en-US"/>
        </w:rPr>
        <w:t>education, roads, sewers, and trash pickup</w:t>
      </w:r>
      <w:r>
        <w:rPr>
          <w:rFonts w:ascii="Times Roman" w:hAnsi="Times Roman" w:hint="default"/>
          <w:rtl w:val="0"/>
          <w:lang w:val="en-US"/>
        </w:rPr>
        <w:t>—</w:t>
      </w:r>
      <w:r>
        <w:rPr>
          <w:rFonts w:ascii="Times Roman" w:hAnsi="Times Roman"/>
          <w:rtl w:val="0"/>
          <w:lang w:val="en-US"/>
        </w:rPr>
        <w:t>in U.S. cities (metro areas/urban counties) are inversely related to the city</w:t>
      </w:r>
      <w:r>
        <w:rPr>
          <w:rFonts w:ascii="Times Roman" w:hAnsi="Times Roman" w:hint="default"/>
          <w:rtl w:val="1"/>
        </w:rPr>
        <w:t>’</w:t>
      </w:r>
      <w:r>
        <w:rPr>
          <w:rFonts w:ascii="Times Roman" w:hAnsi="Times Roman"/>
          <w:rtl w:val="0"/>
          <w:lang w:val="it-IT"/>
        </w:rPr>
        <w:t>s (metro area</w:t>
      </w:r>
      <w:r>
        <w:rPr>
          <w:rFonts w:ascii="Times Roman" w:hAnsi="Times Roman" w:hint="default"/>
          <w:rtl w:val="1"/>
        </w:rPr>
        <w:t>’</w:t>
      </w:r>
      <w:r>
        <w:rPr>
          <w:rFonts w:ascii="Times Roman" w:hAnsi="Times Roman"/>
          <w:rtl w:val="0"/>
          <w:lang w:val="en-US"/>
        </w:rPr>
        <w:t>s/county</w:t>
      </w:r>
      <w:r>
        <w:rPr>
          <w:rFonts w:ascii="Times Roman" w:hAnsi="Times Roman" w:hint="default"/>
          <w:rtl w:val="1"/>
        </w:rPr>
        <w:t>’</w:t>
      </w:r>
      <w:r>
        <w:rPr>
          <w:rFonts w:ascii="Times Roman" w:hAnsi="Times Roman"/>
          <w:rtl w:val="0"/>
          <w:lang w:val="en-US"/>
        </w:rPr>
        <w:t>s) ethnic fragmentation, even after controlling for other socioeconomic and demographic determinants.</w:t>
      </w:r>
      <w:r>
        <w:rPr>
          <w:rFonts w:ascii="Times Roman" w:cs="Times Roman" w:hAnsi="Times Roman" w:eastAsia="Times Roman"/>
        </w:rPr>
        <w:br w:type="textWrapping"/>
      </w:r>
      <w:r>
        <w:rPr>
          <w:rFonts w:ascii="Times Roman" w:hAnsi="Times Roman"/>
          <w:rtl w:val="0"/>
          <w:lang w:val="en-US"/>
        </w:rPr>
        <w:t>We conclude that ethnic conflict is an important determinant of local public finances.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National Political Community and the Politics of Income Taxation in Brazil and South Africa in the Twentieth Century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Evan S. Lieberman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 was the South African state so much more successful than the Brazilian state in its attempts to collect income taxes during the twentieth century?</w:t>
      </w:r>
      <w:r>
        <w:rPr>
          <w:rFonts w:ascii="Times Roman" w:cs="Times Roman" w:hAnsi="Times Roman" w:eastAsia="Times Roman"/>
        </w:rPr>
        <w:br w:type="textWrapping"/>
      </w:r>
      <w:r>
        <w:rPr>
          <w:rFonts w:ascii="Times Roman" w:hAnsi="Times Roman"/>
          <w:rtl w:val="0"/>
          <w:lang w:val="en-US"/>
        </w:rPr>
        <w:t xml:space="preserve">Nationally distinctive tax policies and patterns of administration can be explained by examining the impact of contrasting definitions of </w:t>
      </w:r>
      <w:r>
        <w:rPr>
          <w:rFonts w:ascii="Times Roman" w:hAnsi="Times Roman"/>
          <w:i w:val="1"/>
          <w:iCs w:val="1"/>
          <w:rtl w:val="0"/>
          <w:lang w:val="en-US"/>
        </w:rPr>
        <w:t>national political community</w:t>
      </w:r>
      <w:r>
        <w:rPr>
          <w:rFonts w:ascii="Times Roman" w:hAnsi="Times Roman"/>
          <w:rtl w:val="0"/>
          <w:lang w:val="en-US"/>
        </w:rPr>
        <w:t>, specified in critical constitutions written around the turn of the century.</w:t>
      </w:r>
      <w:r>
        <w:rPr>
          <w:rFonts w:ascii="Times Roman" w:cs="Times Roman" w:hAnsi="Times Roman" w:eastAsia="Times Roman"/>
        </w:rPr>
        <w:br w:type="textWrapping"/>
      </w:r>
      <w:r>
        <w:rPr>
          <w:rFonts w:ascii="Times Roman" w:hAnsi="Times Roman"/>
          <w:rtl w:val="0"/>
          <w:lang w:val="en-US"/>
        </w:rPr>
        <w:t>The ways in which racial and spatial cleavages were addressed in the 1891 Brazilian Constitution and the 1909 South Africa Act influenced the development of interclass and intraclass relations, which in turn affected the willingness of upper-income groups to accept state demands for income tax payments.</w:t>
      </w:r>
      <w:r>
        <w:rPr>
          <w:rFonts w:ascii="Times Roman" w:cs="Times Roman" w:hAnsi="Times Roman" w:eastAsia="Times Roman"/>
        </w:rPr>
        <w:br w:type="textWrapping"/>
      </w:r>
      <w:r>
        <w:rPr>
          <w:rFonts w:ascii="Times Roman" w:hAnsi="Times Roman"/>
          <w:rtl w:val="0"/>
          <w:lang w:val="en-US"/>
        </w:rPr>
        <w:t xml:space="preserve">Varied patterns of state development were largely predicated on contested notions of </w:t>
      </w:r>
      <w:r>
        <w:rPr>
          <w:rFonts w:ascii="Times Roman" w:hAnsi="Times Roman" w:hint="default"/>
          <w:rtl w:val="1"/>
          <w:lang w:val="ar-SA" w:bidi="ar-SA"/>
        </w:rPr>
        <w:t>“</w:t>
      </w:r>
      <w:r>
        <w:rPr>
          <w:rFonts w:ascii="Times Roman" w:hAnsi="Times Roman"/>
          <w:rtl w:val="0"/>
        </w:rPr>
        <w:t>us</w:t>
      </w:r>
      <w:r>
        <w:rPr>
          <w:rFonts w:ascii="Times Roman" w:hAnsi="Times Roman" w:hint="default"/>
          <w:rtl w:val="0"/>
        </w:rPr>
        <w:t xml:space="preserve">” </w:t>
      </w:r>
      <w:r>
        <w:rPr>
          <w:rFonts w:ascii="Times Roman" w:hAnsi="Times Roman"/>
          <w:rtl w:val="0"/>
          <w:lang w:val="en-US"/>
        </w:rPr>
        <w:t xml:space="preserve">and </w:t>
      </w:r>
      <w:r>
        <w:rPr>
          <w:rFonts w:ascii="Times Roman" w:hAnsi="Times Roman" w:hint="default"/>
          <w:rtl w:val="1"/>
          <w:lang w:val="ar-SA" w:bidi="ar-SA"/>
        </w:rPr>
        <w:t>“</w:t>
      </w:r>
      <w:r>
        <w:rPr>
          <w:rFonts w:ascii="Times Roman" w:hAnsi="Times Roman"/>
          <w:rtl w:val="0"/>
          <w:lang w:val="en-US"/>
        </w:rPr>
        <w:t>them.</w:t>
      </w:r>
      <w:r>
        <w:rPr>
          <w:rFonts w:ascii="Times Roman" w:hAnsi="Times Roman" w:hint="default"/>
          <w:rtl w:val="0"/>
        </w:rPr>
        <w:t>”</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Tax Me If You Can: Ethnic Geography, Democracy, and the Taxation of Agriculture in Africa</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Kimuli Kasara</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It is typically assumed that African leaders enact policies benefiting their ethnoregional groups through patronage.</w:t>
      </w:r>
      <w:r>
        <w:rPr>
          <w:rFonts w:ascii="Times Roman" w:cs="Times Roman" w:hAnsi="Times Roman" w:eastAsia="Times Roman"/>
        </w:rPr>
        <w:br w:type="textWrapping"/>
      </w:r>
      <w:r>
        <w:rPr>
          <w:rFonts w:ascii="Times Roman" w:hAnsi="Times Roman"/>
          <w:rtl w:val="0"/>
          <w:lang w:val="en-US"/>
        </w:rPr>
        <w:t>Crop production and political power are geographically concentrated in many African countries, and this paper exploits this overlap to challenge that conventional wisdom.</w:t>
      </w:r>
      <w:r>
        <w:rPr>
          <w:rFonts w:ascii="Times Roman" w:cs="Times Roman" w:hAnsi="Times Roman" w:eastAsia="Times Roman"/>
        </w:rPr>
        <w:br w:type="textWrapping"/>
      </w:r>
      <w:r>
        <w:rPr>
          <w:rFonts w:ascii="Times Roman" w:hAnsi="Times Roman"/>
          <w:rtl w:val="0"/>
          <w:lang w:val="en-US"/>
        </w:rPr>
        <w:t>Using data on 50 country</w:t>
      </w:r>
      <w:r>
        <w:rPr>
          <w:rFonts w:ascii="Times Roman" w:hAnsi="Times Roman" w:hint="default"/>
          <w:rtl w:val="0"/>
        </w:rPr>
        <w:t>–</w:t>
      </w:r>
      <w:r>
        <w:rPr>
          <w:rFonts w:ascii="Times Roman" w:hAnsi="Times Roman"/>
          <w:rtl w:val="0"/>
          <w:lang w:val="en-US"/>
        </w:rPr>
        <w:t>crop combinations, it shows that cash crop farmers who are ethnically identified with the head of state face higher taxes. Furthermore, democratic regimes impose lower taxes.</w:t>
      </w:r>
      <w:r>
        <w:rPr>
          <w:rFonts w:ascii="Times Roman" w:cs="Times Roman" w:hAnsi="Times Roman" w:eastAsia="Times Roman"/>
        </w:rPr>
        <w:br w:type="textWrapping"/>
      </w:r>
      <w:r>
        <w:rPr>
          <w:rFonts w:ascii="Times Roman" w:hAnsi="Times Roman"/>
          <w:rtl w:val="0"/>
          <w:lang w:val="en-US"/>
        </w:rPr>
        <w:t>Farmers with few alternatives face higher taxes, as leaders use local intermediaries to exert control over the countryside and prevent support for alternative candidates.</w:t>
      </w:r>
      <w:r>
        <w:rPr>
          <w:rFonts w:ascii="Times Roman" w:cs="Times Roman" w:hAnsi="Times Roman" w:eastAsia="Times Roman"/>
        </w:rPr>
        <w:br w:type="textWrapping"/>
      </w:r>
      <w:r>
        <w:rPr>
          <w:rFonts w:ascii="Times Roman" w:hAnsi="Times Roman"/>
          <w:rtl w:val="0"/>
          <w:lang w:val="en-US"/>
        </w:rPr>
        <w:t xml:space="preserve">As leaders can better select and monitor intermediaries in their home areas, they can extract more from the majority </w:t>
      </w:r>
      <w:r>
        <w:rPr>
          <w:rFonts w:ascii="Times Roman" w:hAnsi="Times Roman" w:hint="default"/>
          <w:rtl w:val="1"/>
          <w:lang w:val="ar-SA" w:bidi="ar-SA"/>
        </w:rPr>
        <w:t>“</w:t>
      </w:r>
      <w:r>
        <w:rPr>
          <w:rFonts w:ascii="Times Roman" w:hAnsi="Times Roman"/>
          <w:rtl w:val="0"/>
          <w:lang w:val="en-US"/>
        </w:rPr>
        <w:t>at home</w:t>
      </w:r>
      <w:r>
        <w:rPr>
          <w:rFonts w:ascii="Times Roman" w:hAnsi="Times Roman" w:hint="default"/>
          <w:rtl w:val="0"/>
        </w:rPr>
        <w:t xml:space="preserve">” </w:t>
      </w:r>
      <w:r>
        <w:rPr>
          <w:rFonts w:ascii="Times Roman" w:hAnsi="Times Roman"/>
          <w:rtl w:val="0"/>
          <w:lang w:val="en-US"/>
        </w:rPr>
        <w:t xml:space="preserve">than </w:t>
      </w:r>
      <w:r>
        <w:rPr>
          <w:rFonts w:ascii="Times Roman" w:hAnsi="Times Roman" w:hint="default"/>
          <w:rtl w:val="1"/>
          <w:lang w:val="ar-SA" w:bidi="ar-SA"/>
        </w:rPr>
        <w:t>“</w:t>
      </w:r>
      <w:r>
        <w:rPr>
          <w:rFonts w:ascii="Times Roman" w:hAnsi="Times Roman"/>
          <w:rtl w:val="0"/>
          <w:lang w:val="en-US"/>
        </w:rPr>
        <w:t>abroad,</w:t>
      </w:r>
      <w:r>
        <w:rPr>
          <w:rFonts w:ascii="Times Roman" w:hAnsi="Times Roman" w:hint="default"/>
          <w:rtl w:val="0"/>
        </w:rPr>
        <w:t xml:space="preserve">” </w:t>
      </w:r>
      <w:r>
        <w:rPr>
          <w:rFonts w:ascii="Times Roman" w:hAnsi="Times Roman"/>
          <w:rtl w:val="0"/>
          <w:lang w:val="en-US"/>
        </w:rPr>
        <w:t>using taxes on regionally</w:t>
      </w:r>
      <w:r>
        <w:rPr>
          <w:rFonts w:ascii="Times Roman" w:hAnsi="Times Roman" w:hint="default"/>
          <w:rtl w:val="0"/>
          <w:lang w:val="en-US"/>
        </w:rPr>
        <w:t>—</w:t>
      </w:r>
      <w:r>
        <w:rPr>
          <w:rFonts w:ascii="Times Roman" w:hAnsi="Times Roman"/>
          <w:rtl w:val="0"/>
          <w:lang w:val="en-US"/>
        </w:rPr>
        <w:t>but not individually</w:t>
      </w:r>
      <w:r>
        <w:rPr>
          <w:rFonts w:ascii="Times Roman" w:hAnsi="Times Roman" w:hint="default"/>
          <w:rtl w:val="0"/>
          <w:lang w:val="en-US"/>
        </w:rPr>
        <w:t>—</w:t>
      </w:r>
      <w:r>
        <w:rPr>
          <w:rFonts w:ascii="Times Roman" w:hAnsi="Times Roman"/>
          <w:rtl w:val="0"/>
          <w:lang w:val="en-US"/>
        </w:rPr>
        <w:t>targetable cash crops.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Blood Is Thicker Than Water: Elite Kinship Networks and State Building in Imperial China</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rPr>
        <w:t>Yuhua Wang</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A long tradition in social science scholarship holds that kinship-based institutions undermine state building.</w:t>
      </w:r>
      <w:r>
        <w:rPr>
          <w:rFonts w:ascii="Times Roman" w:cs="Times Roman" w:hAnsi="Times Roman" w:eastAsia="Times Roman"/>
        </w:rPr>
        <w:br w:type="textWrapping"/>
      </w:r>
      <w:r>
        <w:rPr>
          <w:rFonts w:ascii="Times Roman" w:hAnsi="Times Roman"/>
          <w:rtl w:val="0"/>
          <w:lang w:val="en-US"/>
        </w:rPr>
        <w:t>I argue that kinship networks, when geographically dispersed, crosscut local cleavages and align the incentives of self-interested elites in favor of building a strong state, which generates scale economies in providing protection and justice throughout a large territory.</w:t>
      </w:r>
      <w:r>
        <w:rPr>
          <w:rFonts w:ascii="Times Roman" w:cs="Times Roman" w:hAnsi="Times Roman" w:eastAsia="Times Roman"/>
        </w:rPr>
        <w:br w:type="textWrapping"/>
      </w:r>
      <w:r>
        <w:rPr>
          <w:rFonts w:ascii="Times Roman" w:hAnsi="Times Roman"/>
          <w:rtl w:val="0"/>
          <w:lang w:val="en-US"/>
        </w:rPr>
        <w:t>I evaluate this argument by examining elite preferences related to a state-building reform in eleventh-century China.</w:t>
      </w:r>
      <w:r>
        <w:rPr>
          <w:rFonts w:ascii="Times Roman" w:cs="Times Roman" w:hAnsi="Times Roman" w:eastAsia="Times Roman"/>
        </w:rPr>
        <w:br w:type="textWrapping"/>
      </w:r>
      <w:r>
        <w:rPr>
          <w:rFonts w:ascii="Times Roman" w:hAnsi="Times Roman"/>
          <w:rtl w:val="0"/>
          <w:lang w:val="en-US"/>
        </w:rPr>
        <w:t>I map politicians</w:t>
      </w:r>
      <w:r>
        <w:rPr>
          <w:rFonts w:ascii="Times Roman" w:hAnsi="Times Roman" w:hint="default"/>
          <w:rtl w:val="1"/>
        </w:rPr>
        <w:t xml:space="preserve">’ </w:t>
      </w:r>
      <w:r>
        <w:rPr>
          <w:rFonts w:ascii="Times Roman" w:hAnsi="Times Roman"/>
          <w:rtl w:val="0"/>
          <w:lang w:val="en-US"/>
        </w:rPr>
        <w:t>kinship networks using their tomb epitaphs and collect data on their political allegiances from archival materials.</w:t>
      </w:r>
      <w:r>
        <w:rPr>
          <w:rFonts w:ascii="Times Roman" w:cs="Times Roman" w:hAnsi="Times Roman" w:eastAsia="Times Roman"/>
        </w:rPr>
        <w:br w:type="textWrapping"/>
      </w:r>
      <w:r>
        <w:rPr>
          <w:rFonts w:ascii="Times Roman" w:hAnsi="Times Roman"/>
          <w:rtl w:val="0"/>
          <w:lang w:val="en-US"/>
        </w:rPr>
        <w:t>A statistical analysis demonstrates that a politician</w:t>
      </w:r>
      <w:r>
        <w:rPr>
          <w:rFonts w:ascii="Times Roman" w:hAnsi="Times Roman" w:hint="default"/>
          <w:rtl w:val="1"/>
        </w:rPr>
        <w:t>’</w:t>
      </w:r>
      <w:r>
        <w:rPr>
          <w:rFonts w:ascii="Times Roman" w:hAnsi="Times Roman"/>
          <w:rtl w:val="0"/>
          <w:lang w:val="en-US"/>
        </w:rPr>
        <w:t>s support for state building increases with the geographic size of his kinship network, controlling for individual, family, and regional characteristics.</w:t>
      </w:r>
      <w:r>
        <w:rPr>
          <w:rFonts w:ascii="Times Roman" w:cs="Times Roman" w:hAnsi="Times Roman" w:eastAsia="Times Roman"/>
        </w:rPr>
        <w:br w:type="textWrapping"/>
      </w:r>
      <w:r>
        <w:rPr>
          <w:rFonts w:ascii="Times Roman" w:hAnsi="Times Roman"/>
          <w:rtl w:val="0"/>
          <w:lang w:val="en-US"/>
        </w:rPr>
        <w:t>These findings highlight the importance of elite social structure in facilitating state development and provide a useful counterpoint to Eurocentric state-building theories.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Is Diversity Detrimental? Ethnic Fractionalization, Public Goods Provision, and the Historical Legacies of Stateness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de-DE"/>
        </w:rPr>
        <w:t>Andreas Wimmer</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Existing research has shown that highly diverse countries tend to provide fewer public goods.</w:t>
      </w:r>
      <w:r>
        <w:rPr>
          <w:rFonts w:ascii="Times Roman" w:cs="Times Roman" w:hAnsi="Times Roman" w:eastAsia="Times Roman"/>
        </w:rPr>
        <w:br w:type="textWrapping"/>
      </w:r>
      <w:r>
        <w:rPr>
          <w:rFonts w:ascii="Times Roman" w:hAnsi="Times Roman"/>
          <w:rtl w:val="0"/>
          <w:lang w:val="en-US"/>
        </w:rPr>
        <w:t>This article argues, by contrast, that the relationship is spurious: both contemporary ethnic heterogeneity and low public goods provision reflect legacies of weakly developed state capacity inherited from the past.</w:t>
      </w:r>
      <w:r>
        <w:rPr>
          <w:rFonts w:ascii="Times Roman" w:cs="Times Roman" w:hAnsi="Times Roman" w:eastAsia="Times Roman"/>
        </w:rPr>
        <w:br w:type="textWrapping"/>
      </w:r>
      <w:r>
        <w:rPr>
          <w:rFonts w:ascii="Times Roman" w:hAnsi="Times Roman"/>
          <w:rtl w:val="0"/>
          <w:lang w:val="en-US"/>
        </w:rPr>
        <w:t>Classical theories of state formation are then tested to show that favorable topography and climate, high population densities, and a history of warfare are conducive to state formation.</w:t>
      </w:r>
      <w:r>
        <w:rPr>
          <w:rFonts w:ascii="Times Roman" w:cs="Times Roman" w:hAnsi="Times Roman" w:eastAsia="Times Roman"/>
        </w:rPr>
        <w:br w:type="textWrapping"/>
      </w:r>
      <w:r>
        <w:rPr>
          <w:rFonts w:ascii="Times Roman" w:hAnsi="Times Roman"/>
          <w:rtl w:val="0"/>
          <w:lang w:val="en-US"/>
        </w:rPr>
        <w:t>Using an instrumental variable approach, I show that previous ethnic diversity is not consistently an impediment to the formation of indigenous states and thus to contemporary public goods provision.</w:t>
      </w:r>
      <w:r>
        <w:rPr>
          <w:rFonts w:ascii="Times Roman" w:cs="Times Roman" w:hAnsi="Times Roman" w:eastAsia="Times Roman"/>
        </w:rPr>
        <w:br w:type="textWrapping"/>
      </w:r>
      <w:r>
        <w:rPr>
          <w:rFonts w:ascii="Times Roman" w:hAnsi="Times Roman"/>
          <w:rtl w:val="0"/>
          <w:lang w:val="en-US"/>
        </w:rPr>
        <w:t>Empirically, this article uses three different measures of public goods provision and data on precolonial levels of state formation in Asia and Africa to test these hypotheses.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Threats to Territorial Integrity, National Mass Schooling, and Linguistic Commonality</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Keith Darden</w:t>
      </w:r>
    </w:p>
    <w:p>
      <w:pPr>
        <w:pStyle w:val="Default"/>
        <w:suppressAutoHyphens w:val="1"/>
        <w:spacing w:before="0" w:after="240" w:line="240" w:lineRule="auto"/>
        <w:rPr>
          <w:rFonts w:ascii="Times Roman" w:cs="Times Roman" w:hAnsi="Times Roman" w:eastAsia="Times Roman"/>
        </w:rPr>
      </w:pPr>
      <w:r>
        <w:rPr>
          <w:rFonts w:ascii="Times Roman" w:hAnsi="Times Roman"/>
          <w:rtl w:val="0"/>
          <w:lang w:val="en-US"/>
        </w:rPr>
        <w:t>Why are some countries more linguistically homogeneous than others?</w:t>
      </w:r>
      <w:r>
        <w:rPr>
          <w:rFonts w:ascii="Times Roman" w:cs="Times Roman" w:hAnsi="Times Roman" w:eastAsia="Times Roman"/>
        </w:rPr>
        <w:br w:type="textWrapping"/>
      </w:r>
      <w:r>
        <w:rPr>
          <w:rFonts w:ascii="Times Roman" w:hAnsi="Times Roman"/>
          <w:rtl w:val="0"/>
          <w:lang w:val="en-US"/>
        </w:rPr>
        <w:t>We posit that the international environment in which a state develops partially determines the extent of its linguistic commonality and national cohesion.</w:t>
      </w:r>
      <w:r>
        <w:rPr>
          <w:rFonts w:ascii="Times Roman" w:cs="Times Roman" w:hAnsi="Times Roman" w:eastAsia="Times Roman"/>
        </w:rPr>
        <w:br w:type="textWrapping"/>
      </w:r>
      <w:r>
        <w:rPr>
          <w:rFonts w:ascii="Times Roman" w:hAnsi="Times Roman"/>
          <w:rtl w:val="0"/>
          <w:lang w:val="en-US"/>
        </w:rPr>
        <w:t>Specifically, the presence of an external threat of territorial conquest or externally supported secession leads governing elites to have stronger incentives to pursue nation-building strategies</w:t>
      </w:r>
      <w:r>
        <w:rPr>
          <w:rFonts w:ascii="Times Roman" w:hAnsi="Times Roman" w:hint="default"/>
          <w:rtl w:val="0"/>
          <w:lang w:val="en-US"/>
        </w:rPr>
        <w:t>—</w:t>
      </w:r>
      <w:r>
        <w:rPr>
          <w:rFonts w:ascii="Times Roman" w:hAnsi="Times Roman"/>
          <w:rtl w:val="0"/>
          <w:lang w:val="en-US"/>
        </w:rPr>
        <w:t>often through the cultivation of a common national language via mass schooling.</w:t>
      </w:r>
      <w:r>
        <w:rPr>
          <w:rFonts w:ascii="Times Roman" w:cs="Times Roman" w:hAnsi="Times Roman" w:eastAsia="Times Roman"/>
        </w:rPr>
        <w:br w:type="textWrapping"/>
      </w:r>
      <w:r>
        <w:rPr>
          <w:rFonts w:ascii="Times Roman" w:hAnsi="Times Roman"/>
          <w:rtl w:val="0"/>
          <w:lang w:val="en-US"/>
        </w:rPr>
        <w:t>Comparing cases with similar levels of initial linguistic heterogeneity, state capacity, and development but different international environments, we find that states without external threats were more likely to outsource education and identity construction to missionaries or private groups, or not to invest in assimilation at all</w:t>
      </w:r>
      <w:r>
        <w:rPr>
          <w:rFonts w:ascii="Times Roman" w:hAnsi="Times Roman" w:hint="default"/>
          <w:rtl w:val="0"/>
          <w:lang w:val="en-US"/>
        </w:rPr>
        <w:t>—</w:t>
      </w:r>
      <w:r>
        <w:rPr>
          <w:rFonts w:ascii="Times Roman" w:hAnsi="Times Roman"/>
          <w:rtl w:val="0"/>
          <w:lang w:val="en-US"/>
        </w:rPr>
        <w:t>leading to higher ethnic heterogeneity.</w:t>
      </w:r>
      <w:r>
        <w:rPr>
          <w:rFonts w:ascii="Times Roman" w:cs="Times Roman" w:hAnsi="Times Roman" w:eastAsia="Times Roman"/>
        </w:rPr>
        <w:br w:type="textWrapping"/>
      </w:r>
      <w:r>
        <w:rPr>
          <w:rFonts w:ascii="Times Roman" w:hAnsi="Times Roman"/>
          <w:rtl w:val="0"/>
          <w:lang w:val="en-US"/>
        </w:rPr>
        <w:t>By contrast, states facing high external threats invested in nation-building strategies to homogenize their populations.</w:t>
      </w:r>
    </w:p>
    <w:p>
      <w:pPr>
        <w:pStyle w:val="Default"/>
        <w:suppressAutoHyphens w:val="1"/>
        <w:spacing w:before="0" w:line="240" w:lineRule="auto"/>
        <w:rPr>
          <w:rFonts w:ascii="Times Roman" w:cs="Times Roman" w:hAnsi="Times Roman" w:eastAsia="Times Roman"/>
          <w:outline w:val="0"/>
          <w:color w:val="808080"/>
          <w14:textFill>
            <w14:solidFill>
              <w14:srgbClr w14:val="808080"/>
            </w14:solidFill>
          </w14:textFill>
        </w:rPr>
      </w:pPr>
    </w:p>
    <w:p>
      <w:pPr>
        <w:pStyle w:val="Default"/>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From Recognition to Integration: Indigenous Autonomy, State Authority, and National Identity in the Philippines</w:t>
      </w:r>
    </w:p>
    <w:p>
      <w:pPr>
        <w:pStyle w:val="Default"/>
        <w:suppressAutoHyphens w:val="1"/>
        <w:spacing w:before="0" w:after="240" w:line="240" w:lineRule="auto"/>
        <w:rPr>
          <w:rFonts w:ascii="Times Roman" w:cs="Times Roman" w:hAnsi="Times Roman" w:eastAsia="Times Roman"/>
          <w:b w:val="0"/>
          <w:bCs w:val="0"/>
        </w:rPr>
      </w:pPr>
      <w:r>
        <w:rPr>
          <w:rFonts w:ascii="Times Roman" w:hAnsi="Times Roman"/>
          <w:b w:val="1"/>
          <w:bCs w:val="1"/>
          <w:rtl w:val="0"/>
          <w:lang w:val="en-US"/>
        </w:rPr>
        <w:t>Nina McMurry</w:t>
      </w:r>
    </w:p>
    <w:p>
      <w:pPr>
        <w:pStyle w:val="Default"/>
        <w:suppressAutoHyphens w:val="1"/>
        <w:spacing w:before="0" w:after="240" w:line="240" w:lineRule="auto"/>
      </w:pPr>
      <w:r>
        <w:rPr>
          <w:rFonts w:ascii="Times Roman" w:hAnsi="Times Roman"/>
          <w:rtl w:val="0"/>
          <w:lang w:val="en-US"/>
        </w:rPr>
        <w:t>How does the recognition of collective self-governance rights for indigenous communities affect national unity and state consolidation?</w:t>
      </w:r>
      <w:r>
        <w:rPr>
          <w:rFonts w:ascii="Times Roman" w:cs="Times Roman" w:hAnsi="Times Roman" w:eastAsia="Times Roman"/>
        </w:rPr>
        <w:br w:type="textWrapping"/>
      </w:r>
      <w:r>
        <w:rPr>
          <w:rFonts w:ascii="Times Roman" w:hAnsi="Times Roman"/>
          <w:rtl w:val="0"/>
          <w:lang w:val="en-US"/>
        </w:rPr>
        <w:t>In recent decades, many states have recognized such rights, devolving de jure control over land and local governance to indigenous institutions.</w:t>
      </w:r>
      <w:r>
        <w:rPr>
          <w:rFonts w:ascii="Times Roman" w:cs="Times Roman" w:hAnsi="Times Roman" w:eastAsia="Times Roman"/>
        </w:rPr>
        <w:br w:type="textWrapping"/>
      </w:r>
      <w:r>
        <w:rPr>
          <w:rFonts w:ascii="Times Roman" w:hAnsi="Times Roman"/>
          <w:rtl w:val="0"/>
          <w:lang w:val="en-US"/>
        </w:rPr>
        <w:t>Prominent perspectives in the state-building literature suggest that these policies threaten state consolidation by strengthening nonstate authorities at the expense of state authority and subnational identities at the expense of national identity.</w:t>
      </w:r>
      <w:r>
        <w:rPr>
          <w:rFonts w:ascii="Times Roman" w:cs="Times Roman" w:hAnsi="Times Roman" w:eastAsia="Times Roman"/>
        </w:rPr>
        <w:br w:type="textWrapping"/>
      </w:r>
      <w:r>
        <w:rPr>
          <w:rFonts w:ascii="Times Roman" w:hAnsi="Times Roman"/>
          <w:rtl w:val="0"/>
          <w:lang w:val="en-US"/>
        </w:rPr>
        <w:t>Yet few studies have tested these claims.</w:t>
      </w:r>
      <w:r>
        <w:rPr>
          <w:rFonts w:ascii="Times Roman" w:cs="Times Roman" w:hAnsi="Times Roman" w:eastAsia="Times Roman"/>
        </w:rPr>
        <w:br w:type="textWrapping"/>
      </w:r>
      <w:r>
        <w:rPr>
          <w:rFonts w:ascii="Times Roman" w:hAnsi="Times Roman"/>
          <w:rtl w:val="0"/>
          <w:lang w:val="en-US"/>
        </w:rPr>
        <w:t>Leveraging spatial and temporal variation in the granting of communal land titles to indigenous communities in the Philippines, I use difference-in-differences and panel designs to show that titling increases both indigenous self-identification and compliance with the state.</w:t>
      </w:r>
      <w:r>
        <w:rPr>
          <w:rFonts w:ascii="Times Roman" w:cs="Times Roman" w:hAnsi="Times Roman" w:eastAsia="Times Roman"/>
        </w:rPr>
        <w:br w:type="textWrapping"/>
      </w:r>
      <w:r>
        <w:rPr>
          <w:rFonts w:ascii="Times Roman" w:hAnsi="Times Roman"/>
          <w:rtl w:val="0"/>
          <w:lang w:val="en-US"/>
        </w:rPr>
        <w:t>Results from an original survey experiment suggest that recognizing collective self-governance rights can strengthen, rather than weaken, identification with the nation.</w:t>
      </w:r>
    </w:p>
    <w:sectPr>
      <w:headerReference w:type="default" r:id="rId4"/>
      <w:footerReference w:type="default" r:id="rId5"/>
      <w:pgSz w:w="15840" w:h="12240" w:orient="landscape"/>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Aptos">
    <w:charset w:val="00"/>
    <w:family w:val="roman"/>
    <w:pitch w:val="default"/>
  </w:font>
  <w:font w:name="Aptos Display">
    <w:charset w:val="00"/>
    <w:family w:val="roman"/>
    <w:pitch w:val="default"/>
  </w:font>
  <w:font w:name="Helvetica">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lvl w:ilvl="0">
      <w:start w:val="1"/>
      <w:numFmt w:val="decimal"/>
      <w:suff w:val="tab"/>
      <w:lvlText w:val="%1."/>
      <w:lvlJc w:val="left"/>
      <w:pPr>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tos" w:cs="Aptos" w:hAnsi="Aptos" w:eastAsia="Apto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Normal1">
    <w:name w:val="Normal1"/>
    <w:next w:val="Normal1"/>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