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一、总述</w:t>
      </w:r>
    </w:p>
    <w:p>
      <w:r>
        <w:t>本方案覆盖资产池系统的总体设计、接口与风险。</w:t>
      </w:r>
    </w:p>
    <w:p>
      <w:pPr>
        <w:pStyle w:val="Heading1"/>
      </w:pPr>
      <w:r>
        <w:t>二、需求详述</w:t>
      </w:r>
    </w:p>
    <w:p>
      <w:pPr>
        <w:pStyle w:val="Heading2"/>
      </w:pPr>
      <w:r>
        <w:t>2.1 功能需求</w:t>
      </w:r>
    </w:p>
    <w:p>
      <w:pPr>
        <w:pStyle w:val="Heading3"/>
      </w:pPr>
      <w:r>
        <w:t>2.1.1 文件发现</w:t>
      </w:r>
    </w:p>
    <w:p>
      <w:r>
        <w:t>系统应递归扫描工作目录并忽略临时文件。</w:t>
      </w:r>
    </w:p>
    <w:p>
      <w:pPr>
        <w:pStyle w:val="ListBullet"/>
      </w:pPr>
      <w:r>
        <w:t>递归遍历</w:t>
      </w:r>
    </w:p>
    <w:p>
      <w:pPr>
        <w:pStyle w:val="ListBullet"/>
      </w:pPr>
      <w:r>
        <w:t>类型识别</w:t>
      </w:r>
    </w:p>
    <w:p>
      <w:pPr>
        <w:pStyle w:val="ListBullet"/>
      </w:pPr>
      <w:r>
        <w:t>稳定 ID</w:t>
      </w:r>
    </w:p>
    <w:p>
      <w:pPr>
        <w:pStyle w:val="Heading3"/>
      </w:pPr>
      <w:r>
        <w:t>2.1.2 统一读取</w:t>
      </w:r>
    </w:p>
    <w:p>
      <w:r>
        <w:t>上层统一通过 read_artifact 读取，不感知具体格式。</w:t>
      </w:r>
    </w:p>
    <w:p>
      <w:pPr>
        <w:pStyle w:val="Heading2"/>
      </w:pPr>
      <w:r>
        <w:t>2.2 非功能需求</w:t>
      </w:r>
    </w:p>
    <w:p>
      <w:r>
        <w:t>50MB 以内的常规文件应能稳定解析，超限明确报错。</w:t>
      </w:r>
    </w:p>
    <w:p>
      <w:pPr>
        <w:pStyle w:val="Heading1"/>
      </w:pPr>
      <w:r>
        <w:t>三、接口设计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接口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list_artifacts</w:t>
            </w:r>
          </w:p>
        </w:tc>
        <w:tc>
          <w:tcPr>
            <w:tcW w:type="dxa" w:w="4320"/>
          </w:tcPr>
          <w:p>
            <w:r>
              <w:t>扫描工作区文件</w:t>
            </w:r>
          </w:p>
        </w:tc>
      </w:tr>
      <w:tr>
        <w:tc>
          <w:tcPr>
            <w:tcW w:type="dxa" w:w="4320"/>
          </w:tcPr>
          <w:p>
            <w:r>
              <w:t>read_artifact</w:t>
            </w:r>
          </w:p>
        </w:tc>
        <w:tc>
          <w:tcPr>
            <w:tcW w:type="dxa" w:w="4320"/>
          </w:tcPr>
          <w:p>
            <w:r>
              <w:t>统一读取入口</w:t>
            </w:r>
          </w:p>
        </w:tc>
      </w:tr>
      <w:tr>
        <w:tc>
          <w:tcPr>
            <w:tcW w:type="dxa" w:w="4320"/>
          </w:tcPr>
          <w:p>
            <w:r>
              <w:t>artifact_to_context</w:t>
            </w:r>
          </w:p>
        </w:tc>
        <w:tc>
          <w:tcPr>
            <w:tcW w:type="dxa" w:w="4320"/>
          </w:tcPr>
          <w:p>
            <w:r>
              <w:t>构造 LLM 上下文</w:t>
            </w:r>
          </w:p>
        </w:tc>
      </w:tr>
    </w:tbl>
    <w:p>
      <w:pPr>
        <w:pStyle w:val="Heading1"/>
      </w:pPr>
      <w:r>
        <w:t>四、风险与对策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风险类别</w:t>
            </w:r>
          </w:p>
        </w:tc>
        <w:tc>
          <w:tcPr>
            <w:tcW w:type="dxa" w:w="2880"/>
          </w:tcPr>
          <w:p>
            <w:r>
              <w:t>应对策略</w:t>
            </w:r>
          </w:p>
        </w:tc>
      </w:tr>
      <w:tr>
        <w:tc>
          <w:tcPr>
            <w:tcW w:type="dxa" w:w="2880"/>
          </w:tcPr>
          <w:p>
            <w:r>
              <w:t>扫描版 PDF</w:t>
            </w:r>
          </w:p>
        </w:tc>
        <w:tc>
          <w:tcPr>
            <w:tcW w:type="dxa" w:w="2880"/>
          </w:tcPr>
          <w:p>
            <w:r>
              <w:t>无文本层</w:t>
            </w:r>
          </w:p>
        </w:tc>
        <w:tc>
          <w:tcPr>
            <w:tcW w:type="dxa" w:w="2880"/>
          </w:tcPr>
          <w:p>
            <w:r>
              <w:t>标记 requires_ocr，暂不 OCR</w:t>
            </w:r>
          </w:p>
        </w:tc>
      </w:tr>
      <w:tr>
        <w:tc>
          <w:tcPr>
            <w:tcW w:type="dxa" w:w="2880"/>
          </w:tcPr>
          <w:p>
            <w:r>
              <w:t>超大表格</w:t>
            </w:r>
          </w:p>
        </w:tc>
        <w:tc>
          <w:tcPr>
            <w:tcW w:type="dxa" w:w="2880"/>
          </w:tcPr>
          <w:p>
            <w:r>
              <w:t>渲染溢出</w:t>
            </w:r>
          </w:p>
        </w:tc>
        <w:tc>
          <w:tcPr>
            <w:tcW w:type="dxa" w:w="2880"/>
          </w:tcPr>
          <w:p>
            <w:r>
              <w:t>截断并标注</w:t>
            </w:r>
          </w:p>
        </w:tc>
      </w:tr>
    </w:tbl>
    <w:p>
      <w:pPr>
        <w:pStyle w:val="Heading1"/>
      </w:pPr>
      <w:r>
        <w:t>五、嵌套结构示例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以下为部门联系人嵌套表格：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姓名</w:t>
                  </w:r>
                </w:p>
              </w:tc>
              <w:tc>
                <w:tcPr>
                  <w:tcW w:type="dxa" w:w="4320"/>
                </w:tcPr>
                <w:p>
                  <w:r>
                    <w:t>电话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张伟</w:t>
                  </w:r>
                </w:p>
              </w:tc>
              <w:tc>
                <w:tcPr>
                  <w:tcW w:type="dxa" w:w="4320"/>
                </w:tcPr>
                <w:p>
                  <w:r>
                    <w:t>13800000000</w:t>
                  </w:r>
                </w:p>
              </w:tc>
            </w:tr>
          </w:tbl>
          <w:p/>
        </w:tc>
      </w:tr>
    </w:tbl>
    <w:p>
      <w:r>
        <w:t>以上风险在第一阶段以标注和截断方式处理，不引入复杂管线。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资产池建设总体方案（复杂样例）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