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一、项目背景</w:t>
      </w:r>
    </w:p>
    <w:p>
      <w:r>
        <w:t>随着业务规模扩大，各类资产需要统一入池管理。本文档描述资产池建设的第一阶段需求。</w:t>
      </w:r>
    </w:p>
    <w:p>
      <w:pPr>
        <w:pStyle w:val="Heading1"/>
      </w:pPr>
      <w:r>
        <w:t>二、业务流程</w:t>
      </w:r>
    </w:p>
    <w:p>
      <w:pPr>
        <w:pStyle w:val="Heading2"/>
      </w:pPr>
      <w:r>
        <w:t>2.1 申请流程</w:t>
      </w:r>
    </w:p>
    <w:p>
      <w:r>
        <w:t>业务部门提交入池申请，系统自动采集材料并生成资产档案。</w:t>
      </w:r>
    </w:p>
    <w:p>
      <w:pPr>
        <w:pStyle w:val="Heading2"/>
      </w:pPr>
      <w:r>
        <w:t>2.2 审批流程</w:t>
      </w:r>
    </w:p>
    <w:p>
      <w:r>
        <w:t>审批岗对入池材料进行复核，复核通过后资产正式进入资产池。</w:t>
      </w:r>
    </w:p>
    <w:p>
      <w:pPr>
        <w:pStyle w:val="Heading1"/>
      </w:pPr>
      <w:r>
        <w:t>三、系统架构</w:t>
      </w:r>
    </w:p>
    <w:p>
      <w:r>
        <w:t>系统由采集服务、解析服务与存储服务组成，均部署在内网环境。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责任主体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上传材料并OCR识别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</w:tr>
      <w:tr>
        <w:tc>
          <w:tcPr>
            <w:tcW w:type="dxa" w:w="2880"/>
          </w:tcPr>
          <w:p>
            <w:r>
              <w:t>审核</w:t>
            </w:r>
          </w:p>
        </w:tc>
        <w:tc>
          <w:tcPr>
            <w:tcW w:type="dxa" w:w="2880"/>
          </w:tcPr>
          <w:p>
            <w:r>
              <w:t>人工复核材料完整性</w:t>
            </w:r>
          </w:p>
        </w:tc>
        <w:tc>
          <w:tcPr>
            <w:tcW w:type="dxa" w:w="2880"/>
          </w:tcPr>
          <w:p>
            <w:r>
              <w:t>运营部</w:t>
            </w:r>
          </w:p>
        </w:tc>
      </w:tr>
      <w:tr>
        <w:tc>
          <w:tcPr>
            <w:tcW w:type="dxa" w:w="2880"/>
          </w:tcPr>
          <w:p>
            <w:r>
              <w:t>入库</w:t>
            </w:r>
          </w:p>
        </w:tc>
        <w:tc>
          <w:tcPr>
            <w:tcW w:type="dxa" w:w="2880"/>
          </w:tcPr>
          <w:p>
            <w:r>
              <w:t>资产写入资产池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</w:tr>
    </w:tbl>
    <w:p>
      <w:pPr>
        <w:pStyle w:val="ListBullet"/>
      </w:pPr>
      <w:r>
        <w:t>支持 DOCX/PDF/XLSX/PPTX 四种格式</w:t>
      </w:r>
    </w:p>
    <w:p>
      <w:pPr>
        <w:pStyle w:val="ListBullet"/>
      </w:pPr>
      <w:r>
        <w:t>保留标题、表格等结构</w:t>
      </w:r>
    </w:p>
    <w:p>
      <w:pPr>
        <w:pStyle w:val="ListBullet"/>
      </w:pPr>
      <w:r>
        <w:t>提供统一 Artifact 模型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资产池需求方案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