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A9EA" w14:textId="0ABAB8F8" w:rsidR="00595964" w:rsidRPr="001B5B1A" w:rsidRDefault="00000000">
      <w:pPr>
        <w:pStyle w:val="Heading2"/>
        <w:rPr>
          <w:rFonts w:asciiTheme="majorBidi" w:hAnsiTheme="majorBidi"/>
          <w:color w:val="auto"/>
          <w:sz w:val="36"/>
          <w:szCs w:val="36"/>
        </w:rPr>
      </w:pPr>
      <w:bookmarkStart w:id="0" w:name="Xac60579bf2b5a331fd05b16acde476fe400d800"/>
      <w:proofErr w:type="spellStart"/>
      <w:r w:rsidRPr="001B5B1A">
        <w:rPr>
          <w:rFonts w:asciiTheme="majorBidi" w:hAnsiTheme="majorBidi"/>
          <w:color w:val="auto"/>
          <w:sz w:val="36"/>
          <w:szCs w:val="36"/>
        </w:rPr>
        <w:t>Pymaceuticals</w:t>
      </w:r>
      <w:proofErr w:type="spellEnd"/>
      <w:r w:rsidRPr="001B5B1A">
        <w:rPr>
          <w:rFonts w:asciiTheme="majorBidi" w:hAnsiTheme="majorBidi"/>
          <w:color w:val="auto"/>
          <w:sz w:val="36"/>
          <w:szCs w:val="36"/>
        </w:rPr>
        <w:t xml:space="preserve"> Inc.</w:t>
      </w:r>
    </w:p>
    <w:p w14:paraId="08ECA6F0" w14:textId="77777777" w:rsidR="00595964" w:rsidRPr="001B5B1A" w:rsidRDefault="00000000">
      <w:pPr>
        <w:pStyle w:val="FirstParagraph"/>
        <w:rPr>
          <w:rFonts w:asciiTheme="majorBidi" w:hAnsiTheme="majorBidi" w:cstheme="majorBidi"/>
          <w:sz w:val="28"/>
          <w:szCs w:val="28"/>
        </w:rPr>
      </w:pPr>
      <w:bookmarkStart w:id="1" w:name="analysis"/>
      <w:proofErr w:type="spellStart"/>
      <w:r w:rsidRPr="001B5B1A">
        <w:rPr>
          <w:rFonts w:asciiTheme="majorBidi" w:hAnsiTheme="majorBidi" w:cstheme="majorBidi"/>
          <w:sz w:val="28"/>
          <w:szCs w:val="28"/>
        </w:rPr>
        <w:t>Pymaceuticals</w:t>
      </w:r>
      <w:proofErr w:type="spellEnd"/>
      <w:r w:rsidRPr="001B5B1A">
        <w:rPr>
          <w:rFonts w:asciiTheme="majorBidi" w:hAnsiTheme="majorBidi" w:cstheme="majorBidi"/>
          <w:sz w:val="28"/>
          <w:szCs w:val="28"/>
        </w:rPr>
        <w:t>, Inc. Recently began screening for potential treatments for squamous cell carcinoma (SCC), a commonly occurring form of skin cancer. In this study, 249 mice who were identified with SCC tumors received treatment with a range of drug regimens. Over the course of 45 days, tumor development was observed and measured. The purpose of this study was to compare the performance of Pymaceuticals’ drug of interest, Capomulin, against the other treatment regimens.</w:t>
      </w:r>
    </w:p>
    <w:p w14:paraId="79CCF92F" w14:textId="4D7DD990" w:rsidR="00595964" w:rsidRPr="001B5B1A" w:rsidRDefault="00000000">
      <w:pPr>
        <w:pStyle w:val="Heading3"/>
        <w:rPr>
          <w:rFonts w:asciiTheme="majorBidi" w:hAnsiTheme="majorBidi"/>
          <w:color w:val="auto"/>
          <w:sz w:val="32"/>
          <w:szCs w:val="32"/>
        </w:rPr>
      </w:pPr>
      <w:bookmarkStart w:id="2" w:name="data-cleaning-and-overview"/>
      <w:bookmarkEnd w:id="1"/>
      <w:r w:rsidRPr="001B5B1A">
        <w:rPr>
          <w:rFonts w:asciiTheme="majorBidi" w:hAnsiTheme="majorBidi"/>
          <w:color w:val="auto"/>
          <w:sz w:val="32"/>
          <w:szCs w:val="32"/>
        </w:rPr>
        <w:t>Data Cleaning and Overview</w:t>
      </w:r>
    </w:p>
    <w:bookmarkEnd w:id="0"/>
    <w:bookmarkEnd w:id="2"/>
    <w:p w14:paraId="47808286" w14:textId="77777777" w:rsidR="00595964" w:rsidRPr="001B5B1A" w:rsidRDefault="00000000">
      <w:pPr>
        <w:pStyle w:val="FirstParagraph"/>
        <w:rPr>
          <w:rFonts w:asciiTheme="majorBidi" w:hAnsiTheme="majorBidi" w:cstheme="majorBidi"/>
          <w:sz w:val="28"/>
          <w:szCs w:val="28"/>
        </w:rPr>
      </w:pPr>
      <w:r w:rsidRPr="001B5B1A">
        <w:rPr>
          <w:rFonts w:asciiTheme="majorBidi" w:hAnsiTheme="majorBidi" w:cstheme="majorBidi"/>
          <w:sz w:val="28"/>
          <w:szCs w:val="28"/>
        </w:rPr>
        <w:t>The initial dataset contained information on 249 mice that received treatment for squamous cell carcinoma (SCC) using various drug regimens.</w:t>
      </w:r>
    </w:p>
    <w:p w14:paraId="3051946B" w14:textId="77777777" w:rsidR="00595964" w:rsidRPr="001B5B1A" w:rsidRDefault="00000000">
      <w:pPr>
        <w:pStyle w:val="FirstParagraph"/>
        <w:rPr>
          <w:rFonts w:asciiTheme="majorBidi" w:hAnsiTheme="majorBidi" w:cstheme="majorBidi"/>
          <w:sz w:val="28"/>
          <w:szCs w:val="28"/>
        </w:rPr>
      </w:pPr>
      <w:r w:rsidRPr="001B5B1A">
        <w:rPr>
          <w:rFonts w:asciiTheme="majorBidi" w:hAnsiTheme="majorBidi" w:cstheme="majorBidi"/>
          <w:sz w:val="28"/>
          <w:szCs w:val="28"/>
        </w:rPr>
        <w:t>After removing duplicate timepoints for a mouse ID, a cleaned dataset was obtained.</w:t>
      </w:r>
    </w:p>
    <w:p w14:paraId="75746CF5" w14:textId="77777777" w:rsidR="00595964" w:rsidRPr="001B5B1A" w:rsidRDefault="00000000">
      <w:pPr>
        <w:pStyle w:val="Heading2"/>
        <w:rPr>
          <w:rFonts w:asciiTheme="majorBidi" w:hAnsiTheme="majorBidi"/>
          <w:color w:val="auto"/>
          <w:sz w:val="32"/>
          <w:szCs w:val="32"/>
        </w:rPr>
      </w:pPr>
      <w:bookmarkStart w:id="3" w:name="summary-statistics"/>
      <w:r w:rsidRPr="001B5B1A">
        <w:rPr>
          <w:rFonts w:asciiTheme="majorBidi" w:hAnsiTheme="majorBidi"/>
          <w:color w:val="auto"/>
          <w:sz w:val="32"/>
          <w:szCs w:val="32"/>
        </w:rPr>
        <w:t>Summary Statistics</w:t>
      </w:r>
    </w:p>
    <w:bookmarkEnd w:id="3"/>
    <w:p w14:paraId="0E84DA55" w14:textId="3856A7C9" w:rsidR="00595964" w:rsidRPr="001B5B1A" w:rsidRDefault="00000000">
      <w:pPr>
        <w:pStyle w:val="FirstParagraph"/>
        <w:rPr>
          <w:rFonts w:asciiTheme="majorBidi" w:hAnsiTheme="majorBidi" w:cstheme="majorBidi"/>
          <w:sz w:val="28"/>
          <w:szCs w:val="28"/>
        </w:rPr>
      </w:pPr>
      <w:r w:rsidRPr="001B5B1A">
        <w:rPr>
          <w:rFonts w:asciiTheme="majorBidi" w:hAnsiTheme="majorBidi" w:cstheme="majorBidi"/>
          <w:sz w:val="28"/>
          <w:szCs w:val="28"/>
        </w:rPr>
        <w:t>The summary statistics provides insights into the performance of different drug regimens in terms of tumor volume.</w:t>
      </w:r>
    </w:p>
    <w:p w14:paraId="14C4CA36" w14:textId="77777777" w:rsidR="00595964" w:rsidRPr="001B5B1A" w:rsidRDefault="00000000">
      <w:pPr>
        <w:pStyle w:val="FirstParagraph"/>
        <w:rPr>
          <w:rFonts w:asciiTheme="majorBidi" w:hAnsiTheme="majorBidi" w:cstheme="majorBidi"/>
          <w:sz w:val="28"/>
          <w:szCs w:val="28"/>
        </w:rPr>
      </w:pPr>
      <w:r w:rsidRPr="001B5B1A">
        <w:rPr>
          <w:rFonts w:asciiTheme="majorBidi" w:hAnsiTheme="majorBidi" w:cstheme="majorBidi"/>
          <w:sz w:val="28"/>
          <w:szCs w:val="28"/>
        </w:rPr>
        <w:t xml:space="preserve">The </w:t>
      </w:r>
      <w:proofErr w:type="spellStart"/>
      <w:r w:rsidRPr="001B5B1A">
        <w:rPr>
          <w:rFonts w:asciiTheme="majorBidi" w:hAnsiTheme="majorBidi" w:cstheme="majorBidi"/>
          <w:sz w:val="28"/>
          <w:szCs w:val="28"/>
        </w:rPr>
        <w:t>Capomulin</w:t>
      </w:r>
      <w:proofErr w:type="spellEnd"/>
      <w:r w:rsidRPr="001B5B1A">
        <w:rPr>
          <w:rFonts w:asciiTheme="majorBidi" w:hAnsiTheme="majorBidi" w:cstheme="majorBidi"/>
          <w:sz w:val="28"/>
          <w:szCs w:val="28"/>
        </w:rPr>
        <w:t xml:space="preserve"> regimen exhibited the lowest mean and median tumor volumes, indicating its potential effectiveness in reducing tumor size.</w:t>
      </w:r>
    </w:p>
    <w:p w14:paraId="5C8E31AA" w14:textId="252BD6D1" w:rsidR="00805E28" w:rsidRPr="001B5B1A" w:rsidRDefault="00000000">
      <w:pPr>
        <w:pStyle w:val="BodyText"/>
        <w:rPr>
          <w:rFonts w:asciiTheme="majorBidi" w:hAnsiTheme="majorBidi" w:cstheme="majorBidi"/>
          <w:sz w:val="28"/>
          <w:szCs w:val="28"/>
        </w:rPr>
      </w:pPr>
      <w:r w:rsidRPr="001B5B1A">
        <w:rPr>
          <w:rFonts w:asciiTheme="majorBidi" w:hAnsiTheme="majorBidi" w:cstheme="majorBidi"/>
          <w:sz w:val="28"/>
          <w:szCs w:val="28"/>
        </w:rPr>
        <w:t>Ramicane also showed promising results with lower mean and median tumor volumes.</w:t>
      </w:r>
    </w:p>
    <w:p w14:paraId="1DDCD22A" w14:textId="77777777" w:rsidR="00805E28" w:rsidRDefault="00805E28">
      <w:r>
        <w:br w:type="page"/>
      </w:r>
    </w:p>
    <w:p w14:paraId="0A060CF5" w14:textId="77777777" w:rsidR="00595964" w:rsidRDefault="00595964">
      <w:pPr>
        <w:pStyle w:val="BodyText"/>
      </w:pPr>
    </w:p>
    <w:p w14:paraId="4C25F970" w14:textId="77777777" w:rsidR="00595964" w:rsidRPr="001B5B1A" w:rsidRDefault="00000000" w:rsidP="00805E28">
      <w:pPr>
        <w:pStyle w:val="Heading2"/>
        <w:jc w:val="center"/>
        <w:rPr>
          <w:rFonts w:asciiTheme="majorBidi" w:hAnsiTheme="majorBidi"/>
          <w:color w:val="auto"/>
          <w:sz w:val="32"/>
          <w:szCs w:val="32"/>
        </w:rPr>
      </w:pPr>
      <w:bookmarkStart w:id="4" w:name="bar-and-pie-charts"/>
      <w:r w:rsidRPr="001B5B1A">
        <w:rPr>
          <w:rFonts w:asciiTheme="majorBidi" w:hAnsiTheme="majorBidi"/>
          <w:color w:val="auto"/>
          <w:sz w:val="32"/>
          <w:szCs w:val="32"/>
        </w:rPr>
        <w:t>Bar and Pie Charts</w:t>
      </w:r>
    </w:p>
    <w:bookmarkEnd w:id="4"/>
    <w:p w14:paraId="74C74583" w14:textId="111EC58B" w:rsidR="00595964" w:rsidRDefault="00595964">
      <w:pPr>
        <w:pStyle w:val="FirstParagraph"/>
      </w:pPr>
    </w:p>
    <w:p w14:paraId="18407CD6" w14:textId="49F57F00" w:rsidR="00595964" w:rsidRDefault="00000000">
      <w:pPr>
        <w:pStyle w:val="FirstParagraph"/>
      </w:pPr>
      <w:r>
        <w:rPr>
          <w:noProof/>
        </w:rPr>
        <w:drawing>
          <wp:inline distT="0" distB="0" distL="0" distR="0" wp14:anchorId="7B7C17C6" wp14:editId="01BA15B5">
            <wp:extent cx="4191000" cy="2761814"/>
            <wp:effectExtent l="0" t="0" r="0" b="635"/>
            <wp:docPr id="29" name="Picture"/>
            <wp:cNvGraphicFramePr/>
            <a:graphic xmlns:a="http://schemas.openxmlformats.org/drawingml/2006/main">
              <a:graphicData uri="http://schemas.openxmlformats.org/drawingml/2006/picture">
                <pic:pic xmlns:pic="http://schemas.openxmlformats.org/drawingml/2006/picture">
                  <pic:nvPicPr>
                    <pic:cNvPr id="30" name="Picture" descr="25c68e2a1a2ef6c2500354d4458765379345b35c.png"/>
                    <pic:cNvPicPr>
                      <a:picLocks noChangeAspect="1" noChangeArrowheads="1"/>
                    </pic:cNvPicPr>
                  </pic:nvPicPr>
                  <pic:blipFill>
                    <a:blip r:embed="rId7"/>
                    <a:stretch>
                      <a:fillRect/>
                    </a:stretch>
                  </pic:blipFill>
                  <pic:spPr bwMode="auto">
                    <a:xfrm>
                      <a:off x="0" y="0"/>
                      <a:ext cx="4203657" cy="2770155"/>
                    </a:xfrm>
                    <a:prstGeom prst="rect">
                      <a:avLst/>
                    </a:prstGeom>
                    <a:noFill/>
                    <a:ln w="9525">
                      <a:noFill/>
                      <a:headEnd/>
                      <a:tailEnd/>
                    </a:ln>
                  </pic:spPr>
                </pic:pic>
              </a:graphicData>
            </a:graphic>
          </wp:inline>
        </w:drawing>
      </w:r>
      <w:r w:rsidR="00805E28">
        <w:t xml:space="preserve">  </w:t>
      </w:r>
      <w:r w:rsidR="00805E28">
        <w:rPr>
          <w:noProof/>
        </w:rPr>
        <w:drawing>
          <wp:inline distT="0" distB="0" distL="0" distR="0" wp14:anchorId="001CD5A5" wp14:editId="449FE041">
            <wp:extent cx="3048000" cy="2524125"/>
            <wp:effectExtent l="0" t="0" r="0" b="9525"/>
            <wp:docPr id="34" name="Picture" descr="A blue and orange circle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descr="A blue and orange circle with text&#10;&#10;Description automatically generated"/>
                    <pic:cNvPicPr>
                      <a:picLocks noChangeAspect="1" noChangeArrowheads="1"/>
                    </pic:cNvPicPr>
                  </pic:nvPicPr>
                  <pic:blipFill>
                    <a:blip r:embed="rId8"/>
                    <a:stretch>
                      <a:fillRect/>
                    </a:stretch>
                  </pic:blipFill>
                  <pic:spPr bwMode="auto">
                    <a:xfrm>
                      <a:off x="0" y="0"/>
                      <a:ext cx="3048510" cy="2524547"/>
                    </a:xfrm>
                    <a:prstGeom prst="rect">
                      <a:avLst/>
                    </a:prstGeom>
                    <a:noFill/>
                    <a:ln w="9525">
                      <a:noFill/>
                      <a:headEnd/>
                      <a:tailEnd/>
                    </a:ln>
                  </pic:spPr>
                </pic:pic>
              </a:graphicData>
            </a:graphic>
          </wp:inline>
        </w:drawing>
      </w:r>
    </w:p>
    <w:p w14:paraId="4C45262D" w14:textId="5DE6D373" w:rsidR="00595964" w:rsidRDefault="00595964">
      <w:pPr>
        <w:pStyle w:val="FirstParagraph"/>
      </w:pPr>
    </w:p>
    <w:p w14:paraId="234ECEC9" w14:textId="446B07C9" w:rsidR="00805E28" w:rsidRDefault="00805E28">
      <w:r>
        <w:br w:type="page"/>
      </w:r>
    </w:p>
    <w:p w14:paraId="5916929E" w14:textId="77777777" w:rsidR="00595964" w:rsidRDefault="00595964">
      <w:pPr>
        <w:pStyle w:val="FirstParagraph"/>
      </w:pPr>
    </w:p>
    <w:p w14:paraId="215FAA98" w14:textId="77777777" w:rsidR="00595964" w:rsidRPr="001B5B1A" w:rsidRDefault="00000000" w:rsidP="00805E28">
      <w:pPr>
        <w:pStyle w:val="Heading2"/>
        <w:jc w:val="center"/>
        <w:rPr>
          <w:rFonts w:asciiTheme="majorBidi" w:hAnsiTheme="majorBidi"/>
          <w:color w:val="auto"/>
          <w:sz w:val="32"/>
          <w:szCs w:val="32"/>
        </w:rPr>
      </w:pPr>
      <w:bookmarkStart w:id="5" w:name="quartiles-outliers-and-boxplots"/>
      <w:r w:rsidRPr="001B5B1A">
        <w:rPr>
          <w:rFonts w:asciiTheme="majorBidi" w:hAnsiTheme="majorBidi"/>
          <w:color w:val="auto"/>
          <w:sz w:val="32"/>
          <w:szCs w:val="32"/>
        </w:rPr>
        <w:t>Quartiles, Outliers and Boxplots</w:t>
      </w:r>
    </w:p>
    <w:bookmarkEnd w:id="5"/>
    <w:p w14:paraId="4D3265A9" w14:textId="77777777" w:rsidR="00595964" w:rsidRPr="001B5B1A" w:rsidRDefault="00000000">
      <w:pPr>
        <w:pStyle w:val="BodyText"/>
        <w:rPr>
          <w:rFonts w:asciiTheme="majorBidi" w:hAnsiTheme="majorBidi" w:cstheme="majorBidi"/>
          <w:sz w:val="28"/>
          <w:szCs w:val="28"/>
        </w:rPr>
      </w:pPr>
      <w:r w:rsidRPr="001B5B1A">
        <w:rPr>
          <w:rFonts w:asciiTheme="majorBidi" w:hAnsiTheme="majorBidi" w:cstheme="majorBidi"/>
          <w:sz w:val="28"/>
          <w:szCs w:val="28"/>
        </w:rPr>
        <w:t>Box plots were created to visualize the distribution of tumor volumes for the four most promising treatment regimens: Capomulin, Ramicane, Infubinol, and Ceftamin.</w:t>
      </w:r>
    </w:p>
    <w:p w14:paraId="3C6C6DE0" w14:textId="6D54AA4C" w:rsidR="00805E28" w:rsidRPr="001B5B1A" w:rsidRDefault="00000000" w:rsidP="00805E28">
      <w:pPr>
        <w:pStyle w:val="BodyText"/>
        <w:rPr>
          <w:rFonts w:asciiTheme="majorBidi" w:hAnsiTheme="majorBidi" w:cstheme="majorBidi"/>
          <w:sz w:val="28"/>
          <w:szCs w:val="28"/>
        </w:rPr>
      </w:pPr>
      <w:r w:rsidRPr="001B5B1A">
        <w:rPr>
          <w:rFonts w:asciiTheme="majorBidi" w:hAnsiTheme="majorBidi" w:cstheme="majorBidi"/>
          <w:sz w:val="28"/>
          <w:szCs w:val="28"/>
        </w:rPr>
        <w:t>Outliers were identified in the Infubinol regimen, suggesting potential variations in response to this treatment.</w:t>
      </w:r>
    </w:p>
    <w:p w14:paraId="06C46071" w14:textId="77777777" w:rsidR="00805E28" w:rsidRPr="00805E28" w:rsidRDefault="00805E28" w:rsidP="00805E28">
      <w:pPr>
        <w:pStyle w:val="BodyText"/>
        <w:rPr>
          <w:sz w:val="28"/>
          <w:szCs w:val="28"/>
        </w:rPr>
      </w:pPr>
    </w:p>
    <w:p w14:paraId="2547CAA0" w14:textId="39452330" w:rsidR="00805E28" w:rsidRPr="001B5B1A" w:rsidRDefault="00805E28" w:rsidP="00805E28">
      <w:pPr>
        <w:pStyle w:val="FirstParagraph"/>
        <w:rPr>
          <w:rFonts w:asciiTheme="majorBidi" w:hAnsiTheme="majorBidi" w:cstheme="majorBidi"/>
          <w:b/>
          <w:bCs/>
          <w:sz w:val="28"/>
          <w:szCs w:val="28"/>
        </w:rPr>
      </w:pPr>
      <w:r w:rsidRPr="001B5B1A">
        <w:rPr>
          <w:rFonts w:asciiTheme="majorBidi" w:hAnsiTheme="majorBidi" w:cstheme="majorBidi"/>
          <w:b/>
          <w:bCs/>
          <w:sz w:val="28"/>
          <w:szCs w:val="28"/>
        </w:rPr>
        <w:t>Box Plot and Outliers:</w:t>
      </w:r>
    </w:p>
    <w:p w14:paraId="48A0E874" w14:textId="77777777" w:rsidR="00805E28" w:rsidRPr="00805E28" w:rsidRDefault="00805E28" w:rsidP="00805E28">
      <w:pPr>
        <w:pStyle w:val="BodyText"/>
      </w:pPr>
    </w:p>
    <w:p w14:paraId="59196322" w14:textId="5554A4E5" w:rsidR="00595964" w:rsidRDefault="00595964">
      <w:pPr>
        <w:pStyle w:val="FirstParagraph"/>
      </w:pPr>
    </w:p>
    <w:p w14:paraId="7026CDB3" w14:textId="2B46B657" w:rsidR="001B5B1A" w:rsidRDefault="001B5B1A">
      <w:pPr>
        <w:rPr>
          <w:rFonts w:asciiTheme="majorHAnsi" w:eastAsiaTheme="majorEastAsia" w:hAnsiTheme="majorHAnsi" w:cstheme="majorBidi"/>
          <w:b/>
          <w:bCs/>
          <w:color w:val="4F81BD" w:themeColor="accent1"/>
          <w:sz w:val="32"/>
          <w:szCs w:val="32"/>
        </w:rPr>
      </w:pPr>
      <w:bookmarkStart w:id="6" w:name="line-and-scatter-plots"/>
      <w:r>
        <w:rPr>
          <w:noProof/>
        </w:rPr>
        <w:drawing>
          <wp:anchor distT="0" distB="0" distL="114300" distR="114300" simplePos="0" relativeHeight="251661312" behindDoc="0" locked="0" layoutInCell="1" allowOverlap="1" wp14:anchorId="53C09006" wp14:editId="7B70D497">
            <wp:simplePos x="0" y="0"/>
            <wp:positionH relativeFrom="margin">
              <wp:posOffset>1323975</wp:posOffset>
            </wp:positionH>
            <wp:positionV relativeFrom="margin">
              <wp:posOffset>2971800</wp:posOffset>
            </wp:positionV>
            <wp:extent cx="5581650" cy="2971800"/>
            <wp:effectExtent l="0" t="0" r="0" b="0"/>
            <wp:wrapSquare wrapText="bothSides"/>
            <wp:docPr id="38" name="Picture"/>
            <wp:cNvGraphicFramePr/>
            <a:graphic xmlns:a="http://schemas.openxmlformats.org/drawingml/2006/main">
              <a:graphicData uri="http://schemas.openxmlformats.org/drawingml/2006/picture">
                <pic:pic xmlns:pic="http://schemas.openxmlformats.org/drawingml/2006/picture">
                  <pic:nvPicPr>
                    <pic:cNvPr id="39" name="Picture" descr="e234a7fcff803d26bd20eb391b6d04c91898180a.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81650" cy="2971800"/>
                    </a:xfrm>
                    <a:prstGeom prst="rect">
                      <a:avLst/>
                    </a:prstGeom>
                    <a:noFill/>
                    <a:ln w="9525">
                      <a:noFill/>
                      <a:headEnd/>
                      <a:tailEnd/>
                    </a:ln>
                  </pic:spPr>
                </pic:pic>
              </a:graphicData>
            </a:graphic>
            <wp14:sizeRelV relativeFrom="margin">
              <wp14:pctHeight>0</wp14:pctHeight>
            </wp14:sizeRelV>
          </wp:anchor>
        </w:drawing>
      </w:r>
      <w:r>
        <w:rPr>
          <w:sz w:val="32"/>
          <w:szCs w:val="32"/>
        </w:rPr>
        <w:br w:type="page"/>
      </w:r>
    </w:p>
    <w:p w14:paraId="3DFCFD0C" w14:textId="52CDF694" w:rsidR="00595964" w:rsidRPr="001B5B1A" w:rsidRDefault="00000000" w:rsidP="00805E28">
      <w:pPr>
        <w:pStyle w:val="Heading2"/>
        <w:jc w:val="center"/>
        <w:rPr>
          <w:rFonts w:asciiTheme="majorBidi" w:hAnsiTheme="majorBidi"/>
          <w:color w:val="auto"/>
          <w:sz w:val="32"/>
          <w:szCs w:val="32"/>
        </w:rPr>
      </w:pPr>
      <w:r w:rsidRPr="001B5B1A">
        <w:rPr>
          <w:rFonts w:asciiTheme="majorBidi" w:hAnsiTheme="majorBidi"/>
          <w:color w:val="auto"/>
          <w:sz w:val="32"/>
          <w:szCs w:val="32"/>
        </w:rPr>
        <w:lastRenderedPageBreak/>
        <w:t>Line Plot</w:t>
      </w:r>
    </w:p>
    <w:bookmarkEnd w:id="6"/>
    <w:p w14:paraId="51036E5F" w14:textId="4D250F9C" w:rsidR="00805E28" w:rsidRDefault="00805E28">
      <w:pPr>
        <w:pStyle w:val="FirstParagraph"/>
      </w:pPr>
    </w:p>
    <w:p w14:paraId="72E8F46B" w14:textId="21D4A8F1" w:rsidR="00805E28" w:rsidRDefault="00805E28">
      <w:r>
        <w:rPr>
          <w:noProof/>
        </w:rPr>
        <w:drawing>
          <wp:anchor distT="0" distB="0" distL="114300" distR="114300" simplePos="0" relativeHeight="251658240" behindDoc="0" locked="0" layoutInCell="1" allowOverlap="1" wp14:anchorId="593ADCE3" wp14:editId="4B597397">
            <wp:simplePos x="0" y="0"/>
            <wp:positionH relativeFrom="margin">
              <wp:posOffset>923925</wp:posOffset>
            </wp:positionH>
            <wp:positionV relativeFrom="margin">
              <wp:posOffset>809625</wp:posOffset>
            </wp:positionV>
            <wp:extent cx="6410325" cy="4322445"/>
            <wp:effectExtent l="0" t="0" r="9525" b="1905"/>
            <wp:wrapSquare wrapText="bothSides"/>
            <wp:docPr id="42" name="Picture"/>
            <wp:cNvGraphicFramePr/>
            <a:graphic xmlns:a="http://schemas.openxmlformats.org/drawingml/2006/main">
              <a:graphicData uri="http://schemas.openxmlformats.org/drawingml/2006/picture">
                <pic:pic xmlns:pic="http://schemas.openxmlformats.org/drawingml/2006/picture">
                  <pic:nvPicPr>
                    <pic:cNvPr id="43" name="Picture" descr="0ed8a358f6193db80c0fa64efe17dde593be63f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10325" cy="4322445"/>
                    </a:xfrm>
                    <a:prstGeom prst="rect">
                      <a:avLst/>
                    </a:prstGeom>
                    <a:noFill/>
                    <a:ln w="9525">
                      <a:noFill/>
                      <a:headEnd/>
                      <a:tailEnd/>
                    </a:ln>
                  </pic:spPr>
                </pic:pic>
              </a:graphicData>
            </a:graphic>
            <wp14:sizeRelH relativeFrom="margin">
              <wp14:pctWidth>0</wp14:pctWidth>
            </wp14:sizeRelH>
          </wp:anchor>
        </w:drawing>
      </w:r>
      <w:r>
        <w:br w:type="page"/>
      </w:r>
    </w:p>
    <w:p w14:paraId="5DE91593" w14:textId="77777777" w:rsidR="00595964" w:rsidRPr="001B5B1A" w:rsidRDefault="00000000">
      <w:pPr>
        <w:pStyle w:val="Heading2"/>
        <w:rPr>
          <w:rFonts w:asciiTheme="majorBidi" w:hAnsiTheme="majorBidi"/>
          <w:color w:val="auto"/>
          <w:sz w:val="32"/>
          <w:szCs w:val="32"/>
        </w:rPr>
      </w:pPr>
      <w:bookmarkStart w:id="7" w:name="correlation-and-regression"/>
      <w:r w:rsidRPr="001B5B1A">
        <w:rPr>
          <w:rFonts w:asciiTheme="majorBidi" w:hAnsiTheme="majorBidi"/>
          <w:color w:val="auto"/>
          <w:sz w:val="32"/>
          <w:szCs w:val="32"/>
        </w:rPr>
        <w:lastRenderedPageBreak/>
        <w:t>Correlation and Regression</w:t>
      </w:r>
    </w:p>
    <w:bookmarkEnd w:id="7"/>
    <w:p w14:paraId="51ED86F6" w14:textId="77777777" w:rsidR="00595964" w:rsidRPr="001B5B1A" w:rsidRDefault="00000000">
      <w:pPr>
        <w:pStyle w:val="FirstParagraph"/>
        <w:rPr>
          <w:rFonts w:asciiTheme="majorBidi" w:hAnsiTheme="majorBidi" w:cstheme="majorBidi"/>
          <w:sz w:val="28"/>
          <w:szCs w:val="28"/>
        </w:rPr>
      </w:pPr>
      <w:r w:rsidRPr="001B5B1A">
        <w:rPr>
          <w:rFonts w:asciiTheme="majorBidi" w:hAnsiTheme="majorBidi" w:cstheme="majorBidi"/>
          <w:sz w:val="28"/>
          <w:szCs w:val="28"/>
        </w:rPr>
        <w:t>A strong positive correlation (0.84) was observed between mouse weight and average observed tumor volume for the Capomulin regimen.</w:t>
      </w:r>
    </w:p>
    <w:p w14:paraId="205F6E0D" w14:textId="77777777" w:rsidR="00595964" w:rsidRPr="001B5B1A" w:rsidRDefault="00000000">
      <w:pPr>
        <w:pStyle w:val="BodyText"/>
        <w:rPr>
          <w:rFonts w:asciiTheme="majorBidi" w:hAnsiTheme="majorBidi" w:cstheme="majorBidi"/>
          <w:sz w:val="28"/>
          <w:szCs w:val="28"/>
        </w:rPr>
      </w:pPr>
      <w:r w:rsidRPr="001B5B1A">
        <w:rPr>
          <w:rFonts w:asciiTheme="majorBidi" w:hAnsiTheme="majorBidi" w:cstheme="majorBidi"/>
          <w:sz w:val="28"/>
          <w:szCs w:val="28"/>
        </w:rPr>
        <w:t>The linear regression model indicated that as mouse weight increases, average tumor volume tends to increase as well.</w:t>
      </w:r>
    </w:p>
    <w:p w14:paraId="1039CF42" w14:textId="20CF6E94" w:rsidR="00805E28" w:rsidRPr="001B5B1A" w:rsidRDefault="00000000" w:rsidP="00805E28">
      <w:pPr>
        <w:pStyle w:val="SourceCode"/>
        <w:rPr>
          <w:rFonts w:asciiTheme="majorBidi" w:hAnsiTheme="majorBidi" w:cstheme="majorBidi"/>
          <w:sz w:val="28"/>
          <w:szCs w:val="28"/>
        </w:rPr>
      </w:pPr>
      <w:r w:rsidRPr="001B5B1A">
        <w:rPr>
          <w:rStyle w:val="VerbatimChar"/>
          <w:rFonts w:asciiTheme="majorBidi" w:hAnsiTheme="majorBidi" w:cstheme="majorBidi"/>
          <w:sz w:val="28"/>
          <w:szCs w:val="28"/>
        </w:rPr>
        <w:t xml:space="preserve">The correlation between mouse weight and the average tumor volume is </w:t>
      </w:r>
      <w:proofErr w:type="gramStart"/>
      <w:r w:rsidRPr="001B5B1A">
        <w:rPr>
          <w:rStyle w:val="VerbatimChar"/>
          <w:rFonts w:asciiTheme="majorBidi" w:hAnsiTheme="majorBidi" w:cstheme="majorBidi"/>
          <w:sz w:val="28"/>
          <w:szCs w:val="28"/>
        </w:rPr>
        <w:t>0.84</w:t>
      </w:r>
      <w:proofErr w:type="gramEnd"/>
    </w:p>
    <w:p w14:paraId="0D4E3469" w14:textId="77777777" w:rsidR="001B5B1A" w:rsidRDefault="001B5B1A" w:rsidP="001B5B1A">
      <w:pPr>
        <w:pStyle w:val="BodyText"/>
        <w:jc w:val="center"/>
        <w:rPr>
          <w:b/>
          <w:bCs/>
          <w:sz w:val="32"/>
          <w:szCs w:val="32"/>
        </w:rPr>
      </w:pPr>
    </w:p>
    <w:p w14:paraId="067454BA" w14:textId="155231D3" w:rsidR="00805E28" w:rsidRPr="001B5B1A" w:rsidRDefault="001B5B1A" w:rsidP="001B5B1A">
      <w:pPr>
        <w:pStyle w:val="BodyText"/>
        <w:jc w:val="center"/>
        <w:rPr>
          <w:b/>
          <w:bCs/>
        </w:rPr>
      </w:pPr>
      <w:r w:rsidRPr="001B5B1A">
        <w:rPr>
          <w:b/>
          <w:bCs/>
          <w:sz w:val="32"/>
          <w:szCs w:val="32"/>
        </w:rPr>
        <w:t>Scatter Plots</w:t>
      </w:r>
      <w:r w:rsidRPr="001B5B1A">
        <w:rPr>
          <w:b/>
          <w:bCs/>
          <w:noProof/>
        </w:rPr>
        <w:t xml:space="preserve"> </w:t>
      </w:r>
      <w:r w:rsidR="00805E28" w:rsidRPr="001B5B1A">
        <w:rPr>
          <w:b/>
          <w:bCs/>
          <w:noProof/>
        </w:rPr>
        <w:drawing>
          <wp:anchor distT="0" distB="0" distL="114300" distR="114300" simplePos="0" relativeHeight="251659264" behindDoc="0" locked="0" layoutInCell="1" allowOverlap="1" wp14:anchorId="023AAEB3" wp14:editId="050A2E36">
            <wp:simplePos x="0" y="0"/>
            <wp:positionH relativeFrom="margin">
              <wp:align>right</wp:align>
            </wp:positionH>
            <wp:positionV relativeFrom="margin">
              <wp:posOffset>3248025</wp:posOffset>
            </wp:positionV>
            <wp:extent cx="3943350" cy="2686050"/>
            <wp:effectExtent l="0" t="0" r="0" b="0"/>
            <wp:wrapSquare wrapText="bothSides"/>
            <wp:docPr id="49" name="Picture" descr="A red line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49" name="Picture" descr="A red line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43350" cy="26860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805E28" w:rsidRPr="001B5B1A">
        <w:rPr>
          <w:b/>
          <w:bCs/>
          <w:noProof/>
        </w:rPr>
        <w:drawing>
          <wp:anchor distT="0" distB="0" distL="114300" distR="114300" simplePos="0" relativeHeight="251660288" behindDoc="0" locked="0" layoutInCell="1" allowOverlap="1" wp14:anchorId="46E3CE26" wp14:editId="0E36684D">
            <wp:simplePos x="0" y="0"/>
            <wp:positionH relativeFrom="margin">
              <wp:align>left</wp:align>
            </wp:positionH>
            <wp:positionV relativeFrom="margin">
              <wp:align>bottom</wp:align>
            </wp:positionV>
            <wp:extent cx="3781425" cy="2676525"/>
            <wp:effectExtent l="0" t="0" r="9525" b="9525"/>
            <wp:wrapSquare wrapText="bothSides"/>
            <wp:docPr id="1211104668" name="Picture 1211104668" descr="A graph of weight and weight&#10;&#10;Description automatically generated"/>
            <wp:cNvGraphicFramePr/>
            <a:graphic xmlns:a="http://schemas.openxmlformats.org/drawingml/2006/main">
              <a:graphicData uri="http://schemas.openxmlformats.org/drawingml/2006/picture">
                <pic:pic xmlns:pic="http://schemas.openxmlformats.org/drawingml/2006/picture">
                  <pic:nvPicPr>
                    <pic:cNvPr id="1211104668" name="Picture 1211104668" descr="A graph of weight and weigh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81425" cy="26765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B85553A" w14:textId="77777777" w:rsidR="00805E28" w:rsidRDefault="00805E28">
      <w:pPr>
        <w:pStyle w:val="BodyText"/>
      </w:pPr>
    </w:p>
    <w:p w14:paraId="1785C2A2" w14:textId="77777777" w:rsidR="00805E28" w:rsidRDefault="00805E28">
      <w:r>
        <w:br w:type="page"/>
      </w:r>
    </w:p>
    <w:p w14:paraId="37318782" w14:textId="65235521" w:rsidR="00595964" w:rsidRPr="001B5B1A" w:rsidRDefault="00000000">
      <w:pPr>
        <w:pStyle w:val="BodyText"/>
        <w:rPr>
          <w:rFonts w:asciiTheme="majorBidi" w:hAnsiTheme="majorBidi" w:cstheme="majorBidi"/>
          <w:b/>
          <w:bCs/>
          <w:sz w:val="32"/>
          <w:szCs w:val="32"/>
        </w:rPr>
      </w:pPr>
      <w:r w:rsidRPr="001B5B1A">
        <w:rPr>
          <w:rFonts w:asciiTheme="majorBidi" w:hAnsiTheme="majorBidi" w:cstheme="majorBidi"/>
          <w:b/>
          <w:bCs/>
          <w:sz w:val="32"/>
          <w:szCs w:val="32"/>
        </w:rPr>
        <w:lastRenderedPageBreak/>
        <w:t>Observations and Inferences:</w:t>
      </w:r>
    </w:p>
    <w:p w14:paraId="02286A1C" w14:textId="77777777" w:rsidR="00595964" w:rsidRPr="001B5B1A" w:rsidRDefault="00000000">
      <w:pPr>
        <w:pStyle w:val="BodyText"/>
        <w:rPr>
          <w:rFonts w:asciiTheme="majorBidi" w:hAnsiTheme="majorBidi" w:cstheme="majorBidi"/>
          <w:sz w:val="28"/>
          <w:szCs w:val="28"/>
        </w:rPr>
      </w:pPr>
      <w:r w:rsidRPr="001B5B1A">
        <w:rPr>
          <w:rFonts w:asciiTheme="majorBidi" w:hAnsiTheme="majorBidi" w:cstheme="majorBidi"/>
          <w:sz w:val="28"/>
          <w:szCs w:val="28"/>
        </w:rPr>
        <w:t>Capomulin and Ramicane appear to be the most effective treatments in reducing tumor volume, as evidenced by their lower mean and median tumor volumes compared to other regimens.</w:t>
      </w:r>
    </w:p>
    <w:p w14:paraId="637B6C84" w14:textId="77777777" w:rsidR="00595964" w:rsidRPr="001B5B1A" w:rsidRDefault="00000000">
      <w:pPr>
        <w:pStyle w:val="BodyText"/>
        <w:rPr>
          <w:rFonts w:asciiTheme="majorBidi" w:hAnsiTheme="majorBidi" w:cstheme="majorBidi"/>
          <w:sz w:val="28"/>
          <w:szCs w:val="28"/>
        </w:rPr>
      </w:pPr>
      <w:r w:rsidRPr="001B5B1A">
        <w:rPr>
          <w:rFonts w:asciiTheme="majorBidi" w:hAnsiTheme="majorBidi" w:cstheme="majorBidi"/>
          <w:sz w:val="28"/>
          <w:szCs w:val="28"/>
        </w:rPr>
        <w:t>Infubinol demonstrated higher variability in tumor volume, as indicated by the larger variance and standard deviation. Additionally, potential outliers were detected in this regimen.</w:t>
      </w:r>
    </w:p>
    <w:p w14:paraId="10FEF493" w14:textId="77777777" w:rsidR="00595964" w:rsidRPr="001B5B1A" w:rsidRDefault="00000000">
      <w:pPr>
        <w:pStyle w:val="BodyText"/>
        <w:rPr>
          <w:rFonts w:asciiTheme="majorBidi" w:hAnsiTheme="majorBidi" w:cstheme="majorBidi"/>
          <w:sz w:val="28"/>
          <w:szCs w:val="28"/>
        </w:rPr>
      </w:pPr>
      <w:r w:rsidRPr="001B5B1A">
        <w:rPr>
          <w:rFonts w:asciiTheme="majorBidi" w:hAnsiTheme="majorBidi" w:cstheme="majorBidi"/>
          <w:sz w:val="28"/>
          <w:szCs w:val="28"/>
        </w:rPr>
        <w:t>There is a strong positive correlation between mouse weight and average tumor volume in the Capomulin regimen, implying that heavier mice tend to have larger tumor volumes.</w:t>
      </w:r>
    </w:p>
    <w:p w14:paraId="1FF9761C" w14:textId="77777777" w:rsidR="00595964" w:rsidRPr="001B5B1A" w:rsidRDefault="00000000">
      <w:pPr>
        <w:pStyle w:val="BodyText"/>
        <w:rPr>
          <w:rFonts w:asciiTheme="majorBidi" w:hAnsiTheme="majorBidi" w:cstheme="majorBidi"/>
          <w:sz w:val="28"/>
          <w:szCs w:val="28"/>
        </w:rPr>
      </w:pPr>
      <w:r w:rsidRPr="001B5B1A">
        <w:rPr>
          <w:rFonts w:asciiTheme="majorBidi" w:hAnsiTheme="majorBidi" w:cstheme="majorBidi"/>
          <w:sz w:val="28"/>
          <w:szCs w:val="28"/>
        </w:rPr>
        <w:t>Overall, the analysis suggests that Capomulin and Ramicane are the most promising treatment options, with lower tumor volumes and potential positive effects on heavier mice. However, further investigations are needed to understand the effects of different variables on treatment outcomes and to validate the observed trends.</w:t>
      </w:r>
    </w:p>
    <w:p w14:paraId="4034C752" w14:textId="77777777" w:rsidR="00595964" w:rsidRDefault="00595964">
      <w:pPr>
        <w:pStyle w:val="SourceCode"/>
      </w:pPr>
    </w:p>
    <w:sectPr w:rsidR="00595964" w:rsidSect="00805E28">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A934" w14:textId="77777777" w:rsidR="00427753" w:rsidRDefault="00427753">
      <w:pPr>
        <w:spacing w:after="0"/>
      </w:pPr>
      <w:r>
        <w:separator/>
      </w:r>
    </w:p>
  </w:endnote>
  <w:endnote w:type="continuationSeparator" w:id="0">
    <w:p w14:paraId="25EE93C2" w14:textId="77777777" w:rsidR="00427753" w:rsidRDefault="00427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B3CB5" w14:textId="77777777" w:rsidR="00427753" w:rsidRDefault="00427753">
      <w:r>
        <w:separator/>
      </w:r>
    </w:p>
  </w:footnote>
  <w:footnote w:type="continuationSeparator" w:id="0">
    <w:p w14:paraId="3420909E" w14:textId="77777777" w:rsidR="00427753" w:rsidRDefault="00427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CA71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587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64"/>
    <w:rsid w:val="001B5B1A"/>
    <w:rsid w:val="00427753"/>
    <w:rsid w:val="004D5C76"/>
    <w:rsid w:val="00595964"/>
    <w:rsid w:val="006E12DF"/>
    <w:rsid w:val="00805E2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CD"/>
  <w15:docId w15:val="{4E3AAD93-2241-4A41-9B7E-12998DA4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armstrong</dc:creator>
  <cp:keywords/>
  <cp:lastModifiedBy>lee armstrong</cp:lastModifiedBy>
  <cp:revision>3</cp:revision>
  <dcterms:created xsi:type="dcterms:W3CDTF">2023-08-24T07:06:00Z</dcterms:created>
  <dcterms:modified xsi:type="dcterms:W3CDTF">2023-08-24T07:29:00Z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