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Cambios realizados para SEO</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Agregué el meta description: Página web de Capita Snowboards donde encontrarás todo lo referido al riding en tabla sobre la nieve. Desde indumentaria hasta las mejores tablas provenientes desde Austria, la meca del snowboards en Europa. Todo sobre la nieve desde Austria hacia el mundo.</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Agregué el meta keywords: Tablas de Snowboards, Capita Snowboards, Freeride, Freestyle, Fuera de pista, All around, SUPER DOA, Videos reviews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 mejoró el title de la página: Capita Snowboard | Todo para la experiencia completa en la nieve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 cambiaron todos los alt a mejores descripciones.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las img se les agrego el loading lazy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 le agrego el async a los scripts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 le agrego el atributo title a los &lt;a&gt; y &lt;iframe&gt;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 el scss/css se le agrego un font-display: swap;</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