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2026-03-10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1.0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송신 경로는 플랫폼에 따라 분기된다.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방식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+ RIO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Send() → provider SendAsync() 직행</w:t>
              <w:br/>
              <w:t>(큐 경유 없음)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Session.cpp:155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 / epoll / kqueue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enqueue</w:t>
              <w:br/>
              <w:t>→ FlushSendQueue()</w:t>
              <w:br/>
              <w:t>→ PostSend()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Session.cpp:248, 261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386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386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 (워커 1개)</w:t>
              <w:br/>
              <w:t>OrderedTaskQueue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386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ClientSession은 접속/해제 시점을 직접 DB에 기록하지 않고 DBTaskQueue에 enqueue한다. DB I/O 지연이 로직 워커를 블로킹하지 않으며, 워커 1개로 같은 sessionId 작업의 순서를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OnConnected → AsyncRecordConnectTime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OnDisconnected → AsyncRecordDisconnectTime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멀티워커 필요 시 OrderedTaskQueue로 전환 (코드 주석에 가이드 있음)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ClientSession.cpp:32, 76, 114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DBTaskQueue.cpp:206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DBTaskQueue.cpp:321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OrderedTaskQueue.cpp:29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OrderedTaskQueue.cpp:109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Concurrency/KeyedDispatcher.h:30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옵션으로 연결)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포트 기본값(8001/8002) 정책 단일화</w:t>
              <w:br/>
              <w:t>(코드·스크립트·문서 일관)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배포 혼동 방지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