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 w:before="500"/>
      </w:pPr>
      <w:r>
        <w:t xml:space="preserve"/>
      </w:r>
    </w:p>
    <w:p>
      <w:pPr>
        <w:spacing w:after="60" w:before="0" w:line="356"/>
        <w:jc w:val="center"/>
      </w:pPr>
      <w:r>
        <w:rPr>
          <w:rFonts w:ascii="맑은 고딕" w:cs="맑은 고딕" w:eastAsia="맑은 고딕" w:hAnsi="맑은 고딕"/>
          <w:color w:val="A0AEC0"/>
          <w:sz w:val="30"/>
          <w:szCs w:val="30"/>
        </w:rPr>
        <w:t xml:space="preserve">ServerEngine</w:t>
      </w:r>
    </w:p>
    <w:p>
      <w:pPr>
        <w:spacing w:after="40" w:before="0" w:line="356"/>
        <w:jc w:val="center"/>
      </w:pPr>
      <w:r>
        <w:rPr>
          <w:rFonts w:ascii="맑은 고딕" w:cs="맑은 고딕" w:eastAsia="맑은 고딕" w:hAnsi="맑은 고딕"/>
          <w:b/>
          <w:bCs/>
          <w:color w:val="1E3A5C"/>
          <w:sz w:val="80"/>
          <w:szCs w:val="80"/>
        </w:rPr>
        <w:t xml:space="preserve">구조 개요</w:t>
      </w:r>
    </w:p>
    <w:p>
      <w:pPr>
        <w:pBdr>
          <w:bottom w:val="single" w:color="2E6DA4" w:sz="3" w:space="4"/>
        </w:pBdr>
        <w:spacing w:after="0" w:before="0" w:line="356"/>
        <w:jc w:val="center"/>
      </w:pPr>
    </w:p>
    <w:p>
      <w:pPr>
        <w:spacing w:after="40" w:before="40"/>
      </w:pPr>
      <w:r>
        <w:t xml:space="preserve"/>
      </w:r>
    </w:p>
    <w:p>
      <w:pPr>
        <w:spacing w:after="0" w:before="40" w:line="356"/>
        <w:jc w:val="center"/>
      </w:pPr>
      <w:r>
        <w:rPr>
          <w:rFonts w:ascii="맑은 고딕" w:cs="맑은 고딕" w:eastAsia="맑은 고딕" w:hAnsi="맑은 고딕"/>
          <w:color w:val="666666"/>
          <w:sz w:val="26"/>
          <w:szCs w:val="26"/>
        </w:rPr>
        <w:t xml:space="preserve">Network Module  ·  Async Processing  ·  DB Processing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rPr>
          <w:b/>
          <w:bCs/>
        </w:rPr>
        <w:t xml:space="preserve">1. 전체 아키텍처 개요</w:t>
      </w:r>
    </w:p>
    <w:p>
      <w:pPr>
        <w:spacing w:after="80" w:before="8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ServerEngine은 INetworkEngine(외부 계약 인터페이스)과 AsyncIOProvider(플랫폼 I/O 백엔드)의 2계층 구조로 설계됩니다. 플랫폼별 엔진이 소켓 수락·I/O 완료를 담당하고, 공통 로직은 BaseNetworkEngine이 공유합니다.</w:t>
      </w:r>
    </w:p>
    <w:p>
      <w:pPr>
        <w:spacing w:after="80" w:before="80"/>
      </w:pPr>
      <w:r>
        <w:t xml:space="preserve"/>
      </w:r>
    </w:p>
    <w:p>
      <w:pPr>
        <w:spacing w:after="60" w:before="140" w:line="356"/>
        <w:jc w:val="center"/>
      </w:pPr>
      <w:r>
        <w:drawing>
          <wp:inline distT="0" distB="0" distL="0" distR="0">
            <wp:extent cx="5981700" cy="4086225"/>
            <wp:effectExtent t="0" r="0" b="0" l="0"/>
            <wp:docPr id="1" name="diag_arch" descr="ServerEngine 전체 아키텍처 — 계층 구조 및 플랫폼별 백엔드" title="ServerEngine 전체 아키텍처 — 계층 구조 및 플랫폼별 백엔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 w:line="356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▲ ServerEngine 전체 아키텍처 — 계층 구조 및 플랫폼별 백엔드</w:t>
      </w:r>
    </w:p>
    <w:p>
      <w:pPr>
        <w:spacing w:after="40" w:before="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Windows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RIO (우선) → IOCP (폴백) — Non-Paged Pool slab buffer pool로 per-I/O 등록 비용 제거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Linux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io_uring (우선) → epoll (폴백) — io_uring_register_buffers로 fixed buffer zero-copy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macOS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kqueue — 표준 I/O, 별도 buffer pool 없이 StandardBufferPool 사용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공통(Base)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세션 관리 · 이벤트 콜백 · 통계 · Recv/Send 공통 완료 처리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ageBreakBefore/>
      </w:pPr>
      <w:r>
        <w:rPr>
          <w:b/>
          <w:bCs/>
        </w:rPr>
        <w:t xml:space="preserve">2. 네트워크 모듈</w:t>
      </w:r>
    </w:p>
    <w:p>
      <w:pPr>
        <w:pStyle w:val="Heading2"/>
      </w:pPr>
      <w:r>
        <w:rPr>
          <w:b/>
          <w:bCs/>
        </w:rPr>
        <w:t xml:space="preserve">2.1 클래스 구조</w:t>
      </w:r>
    </w:p>
    <w:p>
      <w:pPr>
        <w:spacing w:after="80" w:before="8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INetworkEngine 인터페이스가 외부 API를 정의하고, BaseNetworkEngine이 공통 동작을 구현합니다. 플랫폼 엔진은 이를 상속해 accept 루프와 I/O completion 처리만 담당합니다.</w:t>
      </w:r>
    </w:p>
    <w:p>
      <w:pPr>
        <w:spacing w:after="40" w:before="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INetworkEngine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Initialize / Start / Stop / SendData / CloseConnection — 외부 계약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BaseNetworkEngine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세션 풀, 이벤트 콜백 등록/해제, ProcessRecvCompletion(), 통계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WindowsNetworkEngine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AcceptEx + RIO/IOCP completion queue 처리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LinuxNetworkEngine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accept() + io_uring/epoll completion 처리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AsyncIOProvider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AssociateSocket / RecvAsync / SendAsync 플랫폼 추상 인터페이스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2.2 연결 수립 &amp; 패킷 처리 흐름</w:t>
      </w:r>
    </w:p>
    <w:p>
      <w:pPr>
        <w:spacing w:after="80" w:before="8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클라이언트 TCP 접속 시 아래 시퀀스로 세션이 생성되고, 첫 Recv가 등록됩니다. 이후 수신 완료마다 로직 스레드에서 패킷이 재조립됩니다.</w:t>
      </w:r>
    </w:p>
    <w:p>
      <w:pPr>
        <w:spacing w:after="40" w:before="40"/>
      </w:pPr>
      <w:r>
        <w:t xml:space="preserve"/>
      </w:r>
    </w:p>
    <w:p>
      <w:pPr>
        <w:spacing w:after="60" w:before="140" w:line="356"/>
        <w:jc w:val="center"/>
      </w:pPr>
      <w:r>
        <w:drawing>
          <wp:inline distT="0" distB="0" distL="0" distR="0">
            <wp:extent cx="6076950" cy="3543300"/>
            <wp:effectExtent t="0" r="0" b="0" l="0"/>
            <wp:docPr id="1" name="diag_seq" descr="연결 수립 시퀀스 — accept에서 첫 Recv 등록까지" title="연결 수립 시퀀스 — accept에서 첫 Recv 등록까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 w:line="356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▲ 연결 수립 시퀀스 — accept에서 첫 Recv 등록까지</w:t>
      </w:r>
    </w:p>
    <w:p>
      <w:pPr>
        <w:spacing w:after="40" w:before="40"/>
      </w:pPr>
      <w:r>
        <w:t xml:space="preserve"/>
      </w:r>
    </w:p>
    <w:p>
      <w:pPr>
        <w:pBdr>
          <w:left w:val="single" w:color="2E6DA4" w:sz="14" w:space="4"/>
        </w:pBdr>
        <w:shd w:fill="EBF8FF" w:val="clear"/>
        <w:spacing w:after="100" w:before="100" w:line="356"/>
        <w:ind w:left="440" w:right="200"/>
      </w:pPr>
      <w:r>
        <w:rPr>
          <w:rFonts w:ascii="맑은 고딕" w:cs="맑은 고딕" w:eastAsia="맑은 고딕" w:hAnsi="맑은 고딕"/>
          <w:color w:val="1A365D"/>
          <w:sz w:val="26"/>
          <w:szCs w:val="26"/>
        </w:rPr>
        <w:t xml:space="preserve">패킷 재조립: Session::ProcessRawRecv()가 TCP 스트림을 PacketHeader(size, id) 기준으로 재조립합니다. 불완전한 패킷은 버퍼에 누적되고, 유효하지 않은 크기 탐지 시 세션 즉시 종료.</w:t>
      </w:r>
    </w:p>
    <w:p>
      <w:pPr>
        <w:spacing w:after="40" w:before="40"/>
      </w:pPr>
      <w:r>
        <w:t xml:space="preserve"/>
      </w:r>
    </w:p>
    <w:p>
      <w:pPr>
        <w:pStyle w:val="Heading3"/>
      </w:pPr>
      <w:r>
        <w:rPr>
          <w:b/>
          <w:bCs/>
        </w:rPr>
        <w:t xml:space="preserve">송신 경로</w:t>
      </w:r>
    </w:p>
    <w:p>
      <w:pPr>
        <w:pStyle w:val="ListParagraph"/>
        <w:numPr>
          <w:ilvl w:val="0"/>
          <w:numId w:val="2"/>
        </w:numPr>
        <w:spacing w:after="60" w:before="6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Windows + RIO: Session::Send() → AsyncIOProvider::SendAsync() 직행 — slab pool 슬롯 재사용</w:t>
      </w:r>
    </w:p>
    <w:p>
      <w:pPr>
        <w:pStyle w:val="ListParagraph"/>
        <w:numPr>
          <w:ilvl w:val="0"/>
          <w:numId w:val="2"/>
        </w:numPr>
        <w:spacing w:after="60" w:before="6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그 외 (IOCP / epoll / kqueue): mSendQueue enqueue → PostSend() 비동기 전송</w:t>
      </w:r>
    </w:p>
    <w:p>
      <w:pPr>
        <w:pStyle w:val="ListParagraph"/>
        <w:numPr>
          <w:ilvl w:val="0"/>
          <w:numId w:val="2"/>
        </w:numPr>
        <w:spacing w:after="60" w:before="6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CAS(</w:t>
      </w:r>
      <w:r>
        <w:rPr>
          <w:rFonts w:ascii="Consolas" w:cs="Consolas" w:eastAsia="Consolas" w:hAnsi="Consolas"/>
          <w:color w:val="2E6DA4"/>
          <w:sz w:val="20"/>
          <w:szCs w:val="20"/>
        </w:rPr>
        <w:t xml:space="preserve">compare_exchange_strong</w:t>
      </w:r>
      <w:r>
        <w:rPr>
          <w:rFonts w:ascii="맑은 고딕" w:cs="맑은 고딕" w:eastAsia="맑은 고딕" w:hAnsi="맑은 고딕"/>
          <w:sz w:val="26"/>
          <w:szCs w:val="26"/>
        </w:rPr>
        <w:t xml:space="preserve">)로 mIsSending 플래그 관리 — 중복 송신 방지</w:t>
      </w:r>
    </w:p>
    <w:p>
      <w:pPr>
        <w:pStyle w:val="ListParagraph"/>
        <w:numPr>
          <w:ilvl w:val="0"/>
          <w:numId w:val="2"/>
        </w:numPr>
        <w:spacing w:after="60" w:before="6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Send() 반환값: </w:t>
      </w:r>
      <w:r>
        <w:rPr>
          <w:rFonts w:ascii="Consolas" w:cs="Consolas" w:eastAsia="Consolas" w:hAnsi="Consolas"/>
          <w:color w:val="2E6DA4"/>
          <w:sz w:val="20"/>
          <w:szCs w:val="20"/>
        </w:rPr>
        <w:t xml:space="preserve">SendResult::Ok</w:t>
      </w:r>
      <w:r>
        <w:rPr>
          <w:rFonts w:ascii="맑은 고딕" w:cs="맑은 고딕" w:eastAsia="맑은 고딕" w:hAnsi="맑은 고딕"/>
          <w:sz w:val="26"/>
          <w:szCs w:val="26"/>
        </w:rPr>
        <w:t xml:space="preserve"> / </w:t>
      </w:r>
      <w:r>
        <w:rPr>
          <w:rFonts w:ascii="Consolas" w:cs="Consolas" w:eastAsia="Consolas" w:hAnsi="Consolas"/>
          <w:color w:val="2E6DA4"/>
          <w:sz w:val="20"/>
          <w:szCs w:val="20"/>
        </w:rPr>
        <w:t xml:space="preserve">QueueFull</w:t>
      </w:r>
      <w:r>
        <w:rPr>
          <w:rFonts w:ascii="맑은 고딕" w:cs="맑은 고딕" w:eastAsia="맑은 고딕" w:hAnsi="맑은 고딕"/>
          <w:sz w:val="26"/>
          <w:szCs w:val="26"/>
        </w:rPr>
        <w:t xml:space="preserve"> / </w:t>
      </w:r>
      <w:r>
        <w:rPr>
          <w:rFonts w:ascii="Consolas" w:cs="Consolas" w:eastAsia="Consolas" w:hAnsi="Consolas"/>
          <w:color w:val="2E6DA4"/>
          <w:sz w:val="20"/>
          <w:szCs w:val="20"/>
        </w:rPr>
        <w:t xml:space="preserve">NotConnected</w:t>
      </w:r>
    </w:p>
    <w:p>
      <w:pPr>
        <w:spacing w:after="80" w:before="80"/>
      </w:pPr>
      <w:r>
        <w:t xml:space="preserve"/>
      </w:r>
    </w:p>
    <w:p>
      <w:pPr>
        <w:pStyle w:val="Heading1"/>
        <w:pageBreakBefore/>
      </w:pPr>
      <w:r>
        <w:rPr>
          <w:b/>
          <w:bCs/>
        </w:rPr>
        <w:t xml:space="preserve">3. 비동기 처리</w:t>
      </w:r>
    </w:p>
    <w:p>
      <w:pPr>
        <w:pStyle w:val="Heading2"/>
      </w:pPr>
      <w:r>
        <w:rPr>
          <w:b/>
          <w:bCs/>
        </w:rPr>
        <w:t xml:space="preserve">3.1 스레드 디스패치 흐름</w:t>
      </w:r>
    </w:p>
    <w:p>
      <w:pPr>
        <w:spacing w:after="80" w:before="8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I/O 워커 스레드, 로직 스레드풀, DB 작업큐가 명확히 분리됩니다. I/O 완료 이벤트는 KeyedDispatcher를 거쳐 세션 ID 기반으로 로직 워커에 배분됩니다.</w:t>
      </w:r>
    </w:p>
    <w:p>
      <w:pPr>
        <w:spacing w:after="40" w:before="40"/>
      </w:pPr>
      <w:r>
        <w:t xml:space="preserve"/>
      </w:r>
    </w:p>
    <w:p>
      <w:pPr>
        <w:spacing w:after="60" w:before="140" w:line="356"/>
        <w:jc w:val="center"/>
      </w:pPr>
      <w:r>
        <w:drawing>
          <wp:inline distT="0" distB="0" distL="0" distR="0">
            <wp:extent cx="5981700" cy="2419350"/>
            <wp:effectExtent t="0" r="0" b="0" l="0"/>
            <wp:docPr id="1" name="diag_async_1_dispatch" descr="비동기 스레드 디스패치 흐름 — IO Workers → KeyedDispatcher → Logic Workers → DB Layer" title="비동기 스레드 디스패치 흐름 — IO Workers → KeyedDispatcher → Logic Workers → DB Lay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 w:line="356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▲ 비동기 스레드 디스패치 흐름 — IO Workers → KeyedDispatcher → Logic Workers → DB Layer</w:t>
      </w:r>
    </w:p>
    <w:p>
      <w:pPr>
        <w:spacing w:after="40" w:before="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IO Worker Thread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플랫폼 completion port/ring에서 완료 이벤트를 수집 후 즉시 KeyedDispatcher로 전달. I/O 대기만 담당, 비즈니스 로직 없음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KeyedDispatcher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session_id % worker_count 로 Logic Worker 인덱스를 결정해 라우팅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Logic Worker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ProcessRawRecv() 패킷 재조립 + OnRecv 콜백. 같은 세션은 항상 같은 워커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DBTaskQueue Worker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접속/해제 기록 전담. 워커 1개 고정으로 같은 세션 순서 보장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TimerQueue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min-heap 기반. DB ping 루프, 재연결 백오프 등 반복/단발 타이머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3.2 스레드 할당 기준</w:t>
      </w:r>
    </w:p>
    <w:p>
      <w:pPr>
        <w:spacing w:after="80" w:before="8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비동기 처리 과정에서 작업이 어떤 스레드로 넘어가는지, 그 기준을 단계별로 정리합니다.</w:t>
      </w:r>
    </w:p>
    <w:p>
      <w:pPr>
        <w:spacing w:after="60" w:before="60"/>
      </w:pPr>
      <w:r>
        <w:t xml:space="preserve"/>
      </w:r>
    </w:p>
    <w:p>
      <w:pPr>
        <w:spacing w:after="60" w:before="140" w:line="356"/>
        <w:jc w:val="center"/>
      </w:pPr>
      <w:r>
        <w:drawing>
          <wp:inline distT="0" distB="0" distL="0" distR="0">
            <wp:extent cx="5810250" cy="2867025"/>
            <wp:effectExtent t="0" r="0" b="0" l="0"/>
            <wp:docPr id="1" name="diag_async_2_keyed" descr="KeyedDispatcher — session_id % N 기반 세션 친화도 라우팅" title="KeyedDispatcher — session_id % N 기반 세션 친화도 라우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 w:line="356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▲ KeyedDispatcher — session_id % N 기반 세션 친화도 라우팅</w:t>
      </w:r>
    </w:p>
    <w:p>
      <w:pPr>
        <w:spacing w:after="40" w:before="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5038"/>
      </w:tblGrid>
      <w:tr>
        <w:trPr>
          <w:tblHeader/>
        </w:trPr>
        <w:tc>
          <w:tcPr>
            <w:tcW w:type="dxa" w:w="20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1B3A5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 w:before="60" w:line="35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단계</w:t>
            </w:r>
          </w:p>
        </w:tc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1B3A5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 w:before="60" w:line="35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할당 주체</w:t>
            </w:r>
          </w:p>
        </w:tc>
        <w:tc>
          <w:tcPr>
            <w:tcW w:type="dxa" w:w="5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1B3A5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 w:before="60" w:line="35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할당 기준</w:t>
            </w:r>
          </w:p>
        </w:tc>
      </w:tr>
      <w:tr>
        <w:tc>
          <w:tcPr>
            <w:tcW w:type="dxa" w:w="20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I/O 완료 이벤트
수신</w:t>
            </w:r>
          </w:p>
        </w:tc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OS / IO Worker Thread
(랜덤 또는 IOCP 내부)</w:t>
            </w:r>
          </w:p>
        </w:tc>
        <w:tc>
          <w:tcPr>
            <w:tcW w:type="dxa" w:w="5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플랫폼이 유휴 IO Worker에 자동 배분. 어떤 워커가 받든 상관없음 — 다음 단계에서 보정됨</w:t>
            </w:r>
          </w:p>
        </w:tc>
      </w:tr>
      <w:tr>
        <w:tc>
          <w:tcPr>
            <w:tcW w:type="dxa" w:w="20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로직 처리
(Recv/OnRecv)</w:t>
            </w:r>
          </w:p>
        </w:tc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KeyedDispatcher
(Logic Worker)</w:t>
            </w:r>
          </w:p>
        </w:tc>
        <w:tc>
          <w:tcPr>
            <w:tcW w:type="dxa" w:w="5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worker_idx = session_id % worker_count
→ 같은 세션은 항상 같은 워커. 순서 보장</w:t>
            </w:r>
          </w:p>
        </w:tc>
      </w:tr>
      <w:tr>
        <w:tc>
          <w:tcPr>
            <w:tcW w:type="dxa" w:w="20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DB 기록
(접속/해제)</w:t>
            </w:r>
          </w:p>
        </w:tc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DBTaskQueue Worker</w:t>
            </w:r>
          </w:p>
        </w:tc>
        <w:tc>
          <w:tcPr>
            <w:tcW w:type="dxa" w:w="5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워커 1개 고정. FIFO 큐로 같은 sessionId의 connect → disconnect 순서 절대 보장</w:t>
            </w:r>
          </w:p>
        </w:tc>
      </w:tr>
      <w:tr>
        <w:tc>
          <w:tcPr>
            <w:tcW w:type="dxa" w:w="20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타이머 콜백</w:t>
            </w:r>
          </w:p>
        </w:tc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TimerQueue Worker</w:t>
            </w:r>
          </w:p>
        </w:tc>
        <w:tc>
          <w:tcPr>
            <w:tcW w:type="dxa" w:w="5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만료 시각(min-heap top) 기준. 단발/반복 타이머 모두 동일 워커 스레드에서 순차 실행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2E6DA4" w:sz="14" w:space="4"/>
        </w:pBdr>
        <w:shd w:fill="EBF8FF" w:val="clear"/>
        <w:spacing w:after="100" w:before="100" w:line="356"/>
        <w:ind w:left="440" w:right="200"/>
      </w:pPr>
      <w:r>
        <w:rPr>
          <w:rFonts w:ascii="맑은 고딕" w:cs="맑은 고딕" w:eastAsia="맑은 고딕" w:hAnsi="맑은 고딕"/>
          <w:color w:val="1A365D"/>
          <w:sz w:val="26"/>
          <w:szCs w:val="26"/>
        </w:rPr>
        <w:t xml:space="preserve">핵심: IO Worker가 먼저 이벤트를 받은 뒤, KeyedDispatcher가 session_id % N 으로 Logic Worker를 결정합니다. 따라서 IO 스레드는 어느 것이든 상관없고, 로직 처리는 항상 동일 워커에서 순서대로 실행됩니다. 덕분에 Session 단위 mutex(mRecvMutex)가 불필요해집니다.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3.3 ExecutionQueue — 이중 백엔드</w:t>
      </w:r>
    </w:p>
    <w:p>
      <w:pPr>
        <w:spacing w:after="80" w:before="8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KeyedDispatcher의 워커 큐입니다. Mutex 백엔드(기본, 무제한)와 Lock-Free 링 버퍼 백엔드(고성능, 고정 크기) 중 런타임에 선택할 수 있습니다.</w:t>
      </w:r>
    </w:p>
    <w:p>
      <w:pPr>
        <w:spacing w:after="40" w:before="40"/>
      </w:pPr>
      <w:r>
        <w:t xml:space="preserve"/>
      </w:r>
    </w:p>
    <w:p>
      <w:pPr>
        <w:spacing w:after="60" w:before="140" w:line="356"/>
        <w:jc w:val="center"/>
      </w:pPr>
      <w:r>
        <w:drawing>
          <wp:inline distT="0" distB="0" distL="0" distR="0">
            <wp:extent cx="5981700" cy="2524125"/>
            <wp:effectExtent t="0" r="0" b="0" l="0"/>
            <wp:docPr id="1" name="diag_async_3_execqueue" descr="ExecutionQueue&lt;T&gt; 이중 백엔드 — Mutex(기본) vs BoundedLockFree(고성능)" title="ExecutionQueue&lt;T&gt; 이중 백엔드 — Mutex(기본) vs BoundedLockFree(고성능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 w:line="356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▲ ExecutionQueue&lt;T&gt; 이중 백엔드 — Mutex(기본) vs BoundedLockFree(고성능)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3.4 AsyncScope — 세션 생명주기 안전 관리</w:t>
      </w:r>
    </w:p>
    <w:p>
      <w:pPr>
        <w:spacing w:after="80" w:before="8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세션 당 AsyncScope 인스턴스 하나가 존재합니다. 세션이 닫힌 후에도 로직 스레드풀에 람다가 남아 실행되는 문제를 방지합니다.</w:t>
      </w:r>
    </w:p>
    <w:p>
      <w:pPr>
        <w:spacing w:after="40" w:before="40"/>
      </w:pPr>
      <w:r>
        <w:t xml:space="preserve"/>
      </w:r>
    </w:p>
    <w:p>
      <w:pPr>
        <w:spacing w:after="60" w:before="140" w:line="356"/>
        <w:jc w:val="center"/>
      </w:pPr>
      <w:r>
        <w:drawing>
          <wp:inline distT="0" distB="0" distL="0" distR="0">
            <wp:extent cx="5619750" cy="1685925"/>
            <wp:effectExtent t="0" r="0" b="0" l="0"/>
            <wp:docPr id="1" name="08-async-scope-lifecycle" descr="AsyncScope 상태 전이 — Active · Cancelled · Drained · Reset" title="AsyncScope 상태 전이 — Active · Cancelled · Drained · Re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 w:line="356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▲ AsyncScope 상태 전이 — Active · Cancelled · Drained · Reset</w:t>
      </w:r>
    </w:p>
    <w:p>
      <w:pPr>
        <w:spacing w:after="40" w:before="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Active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생성 직후. Submit() 시 in-flight 카운터 증가 후 람다 등록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Cancelled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Session::Close() 시 진입. 이후 Submit()은 즉시 무시(lambda skip)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Drained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WaitForDrain(): in-flight == 0 확인 — RAII 소멸자가 자동 호출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Reset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Session 풀 재사용 시 필수 호출. mCancelled=false 복귀 (누락 시 모든 응답 불가)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ageBreakBefore/>
      </w:pPr>
      <w:r>
        <w:rPr>
          <w:b/>
          <w:bCs/>
        </w:rPr>
        <w:t xml:space="preserve">4. DB 처리</w:t>
      </w:r>
    </w:p>
    <w:p>
      <w:pPr>
        <w:pStyle w:val="Heading2"/>
      </w:pPr>
      <w:r>
        <w:rPr>
          <w:b/>
          <w:bCs/>
        </w:rPr>
        <w:t xml:space="preserve">4.1 DBTaskQueue &amp; IDatabase 추상화</w:t>
      </w:r>
    </w:p>
    <w:p>
      <w:pPr>
        <w:spacing w:after="80" w:before="80" w:line="356"/>
      </w:pPr>
      <w:r>
        <w:rPr>
          <w:rFonts w:ascii="맑은 고딕" w:cs="맑은 고딕" w:eastAsia="맑은 고딕" w:hAnsi="맑은 고딕"/>
          <w:sz w:val="26"/>
          <w:szCs w:val="26"/>
        </w:rPr>
        <w:t xml:space="preserve">ClientSession은 접속/해제 시 DB에 직접 쓰지 않고 DBTaskQueue에 비동기 작업을 등록합니다. IDatabase 인터페이스 위에 SQLite / Mock / ODBC 구현체를 두어 환경에 따라 교체 가능합니다.</w:t>
      </w:r>
    </w:p>
    <w:p>
      <w:pPr>
        <w:spacing w:after="40" w:before="40"/>
      </w:pPr>
      <w:r>
        <w:t xml:space="preserve"/>
      </w:r>
    </w:p>
    <w:p>
      <w:pPr>
        <w:spacing w:after="60" w:before="140" w:line="356"/>
        <w:jc w:val="center"/>
      </w:pPr>
      <w:r>
        <w:drawing>
          <wp:inline distT="0" distB="0" distL="0" distR="0">
            <wp:extent cx="6076950" cy="3400425"/>
            <wp:effectExtent t="0" r="0" b="0" l="0"/>
            <wp:docPr id="1" name="diag_db" descr="DB 처리 흐름 — DBTaskQueue · WAL · IDatabase 추상화 계층" title="DB 처리 흐름 — DBTaskQueue · WAL · IDatabase 추상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 w:line="356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▲ DB 처리 흐름 — DBTaskQueue · WAL · IDatabase 추상화 계층</w:t>
      </w:r>
    </w:p>
    <w:p>
      <w:pPr>
        <w:spacing w:after="40" w:before="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DBTaskQueue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비동기 enqueue. WAL(db_tasks.wal) 기록으로 크래시 안전 보장. 워커 1개 고정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WAL 복구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재시작 시 P|seq(pending)만 골라 재큐잉. D|seq(done)는 스킵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MockDatabase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테스트/개발용 — DB 없이 동작, 로그만 출력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SQLiteDatabase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파일 기반 — SessionConnectLog / SessionDisconnectLog / PlayerData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0F7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ODBCDatabase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Windows 운영 환경 — MS SQL / Oracle 연결</w:t>
            </w:r>
          </w:p>
        </w:tc>
      </w:tr>
      <w:tr>
        <w:tc>
          <w:tcPr>
            <w:tcW w:type="dxa" w:w="2600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Consolas" w:cs="Consolas" w:eastAsia="Consolas" w:hAnsi="Consolas"/>
                <w:b/>
                <w:bCs/>
                <w:color w:val="2E6DA4"/>
                <w:sz w:val="20"/>
                <w:szCs w:val="20"/>
              </w:rPr>
              <w:t xml:space="preserve">OrderedTaskQueue</w:t>
            </w:r>
          </w:p>
        </w:tc>
        <w:tc>
          <w:tcPr>
            <w:tcW w:type="dxa" w:w="7038"/>
            <w:tcBorders>
              <w:top w:val="single" w:color="B8CEDD" w:sz="1"/>
              <w:left w:val="single" w:color="B8CEDD" w:sz="1"/>
              <w:bottom w:val="single" w:color="B8CEDD" w:sz="1"/>
              <w:right w:val="single" w:color="B8CEDD" w:sz="1"/>
            </w:tcBorders>
            <w:shd w:fill="EEF5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 w:line="356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DBServer 전용 — KeyedDispatcher로 serverId 단위 순서 보장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b/>
          <w:bCs/>
        </w:rPr>
        <w:t xml:space="preserve">4.2 Graceful Shutdown 순서</w:t>
      </w:r>
    </w:p>
    <w:p>
      <w:pPr>
        <w:pBdr>
          <w:left w:val="single" w:color="2E6DA4" w:sz="14" w:space="4"/>
        </w:pBdr>
        <w:shd w:fill="EBF8FF" w:val="clear"/>
        <w:spacing w:after="100" w:before="100" w:line="356"/>
        <w:ind w:left="440" w:right="200"/>
      </w:pPr>
      <w:r>
        <w:rPr>
          <w:rFonts w:ascii="맑은 고딕" w:cs="맑은 고딕" w:eastAsia="맑은 고딕" w:hAnsi="맑은 고딕"/>
          <w:color w:val="1A365D"/>
          <w:sz w:val="26"/>
          <w:szCs w:val="26"/>
        </w:rPr>
        <w:t xml:space="preserve">Stop() 순서:  ① DB 재연결 루프 종료  →  ② 연결 세션 disconnect enqueue  →  ③ DBTaskQueue drain (WAL 완전 기록)  →  ④ 로컬 DB 해제  →  ⑤ 네트워크 엔진 종료</w:t>
      </w:r>
    </w:p>
    <w:p>
      <w:pPr>
        <w:spacing w:after="40" w:before="40"/>
      </w:pPr>
      <w:r>
        <w:t xml:space="preserve"/>
      </w:r>
    </w:p>
    <w:p>
      <w:pPr>
        <w:spacing w:after="80" w:before="80" w:line="356"/>
      </w:pPr>
      <w:r>
        <w:rPr>
          <w:rFonts w:ascii="맑은 고딕" w:cs="맑은 고딕" w:eastAsia="맑은 고딕" w:hAnsi="맑은 고딕"/>
          <w:color w:val="666666"/>
          <w:sz w:val="26"/>
          <w:szCs w:val="26"/>
        </w:rPr>
        <w:t xml:space="preserve">이 순서를 지켜야 세션 이벤트가 WAL에 완전히 기록된 뒤 서버가 종료되어 데이터 손실이 없습니다.</w:t>
      </w:r>
    </w:p>
    <w:p>
      <w:pPr>
        <w:spacing w:after="80" w:before="80"/>
      </w:pPr>
      <w:r>
        <w:t xml:space="preserve"/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2" w:space="4"/>
      </w:pBdr>
      <w:tabs>
        <w:tab w:val="right" w:pos="9638"/>
      </w:tabs>
      <w:spacing w:after="0" w:before="80"/>
    </w:pPr>
    <w:r>
      <w:rPr>
        <w:rFonts w:ascii="맑은 고딕" w:cs="맑은 고딕" w:eastAsia="맑은 고딕" w:hAnsi="맑은 고딕"/>
        <w:color w:val="A0AEC0"/>
        <w:sz w:val="18"/>
        <w:szCs w:val="18"/>
      </w:rPr>
      <w:t xml:space="preserve">ServerEngine 구조 개요</w:t>
    </w:r>
    <w:r>
      <w:rPr>
        <w:rFonts w:ascii="맑은 고딕" w:cs="맑은 고딕" w:eastAsia="맑은 고딕" w:hAnsi="맑은 고딕"/>
        <w:sz w:val="18"/>
        <w:szCs w:val="18"/>
      </w:rPr>
      <w:t xml:space="preserve">	</w:t>
    </w:r>
    <w:r>
      <w:rPr>
        <w:rFonts w:ascii="맑은 고딕" w:cs="맑은 고딕" w:eastAsia="맑은 고딕" w:hAnsi="맑은 고딕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8"/>
        <w:szCs w:val="18"/>
      </w:rPr>
      <w:t xml:space="preserve"> / </w:t>
    </w:r>
    <w:r>
      <w:rPr>
        <w:rFonts w:ascii="맑은 고딕" w:cs="맑은 고딕" w:eastAsia="맑은 고딕" w:hAnsi="맑은 고딕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-"/>
      <w:lvlJc w:val="left"/>
      <w:pPr>
        <w:ind w:left="9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6DA4" w:sz="6" w:space="6"/>
      </w:pBdr>
      <w:spacing w:after="240" w:before="480"/>
      <w:outlineLvl w:val="0"/>
    </w:pPr>
    <w:rPr>
      <w:rFonts w:ascii="맑은 고딕" w:cs="맑은 고딕" w:eastAsia="맑은 고딕" w:hAnsi="맑은 고딕"/>
      <w:b/>
      <w:bCs/>
      <w:color w:val="1B3A5C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맑은 고딕" w:cs="맑은 고딕" w:eastAsia="맑은 고딕" w:hAnsi="맑은 고딕"/>
      <w:b/>
      <w:bCs/>
      <w:color w:val="1B3A5C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2E6DA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9f0c36672c41a8898ad91d56febf7cae1f82878.png"/><Relationship Id="rId9" Type="http://schemas.openxmlformats.org/officeDocument/2006/relationships/image" Target="media/aa54f9ae5a300ed747703bbf8c6b506c24d88421.png"/><Relationship Id="rId10" Type="http://schemas.openxmlformats.org/officeDocument/2006/relationships/image" Target="media/7d73937ac04d803edf560e5831dae933c3639090.png"/><Relationship Id="rId11" Type="http://schemas.openxmlformats.org/officeDocument/2006/relationships/image" Target="media/368c81006448824dd17509a838ab8c583bfc26ba.png"/><Relationship Id="rId12" Type="http://schemas.openxmlformats.org/officeDocument/2006/relationships/image" Target="media/ad652c06eadbdd1626f19347b08c3130c95571a8.png"/><Relationship Id="rId13" Type="http://schemas.openxmlformats.org/officeDocument/2006/relationships/image" Target="media/6fe43c4734076a08871a41c693522ff15c905faf.png"/><Relationship Id="rId14" Type="http://schemas.openxmlformats.org/officeDocument/2006/relationships/image" Target="media/1fbe04cb1dd656e797dce0f036147fff75f0960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2026-03-10T15:24:47.520Z</dcterms:created>
  <dcterms:modified xsi:type="dcterms:W3CDTF">2026-03-10T15:24:47.526Z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