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service prediction response (label, probability and signals).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Specifications of the development machine.</w:t>
      </w:r>
    </w:p>
    <w:p>
      <w:r>
        <w:t>- Table 5.2 Software and libraries used in the project.</w:t>
      </w:r>
    </w:p>
    <w:p>
      <w:r>
        <w:t>- Table 5.3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review console, submitted to the prediction service,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the labelled feedback store.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converted into numerical</w:t>
      </w:r>
    </w:p>
    <w:p>
      <w:r>
        <w:t>features using term frequency–inverse document frequency (TF-IDF). In plain terms, TF-IDF gave</w:t>
      </w:r>
    </w:p>
    <w:p>
      <w:r>
        <w:t>each word a high score when it appeared often in a particular email but rarely across all</w:t>
      </w:r>
    </w:p>
    <w:p>
      <w:r>
        <w:t>emails, so distinctive spam vocabulary stood out while common words such as "the" or "and"</w:t>
      </w:r>
    </w:p>
    <w:p>
      <w:r>
        <w:t>were down-weighted. The text was vectorised with TF-IDF over word unigrams/bigrams (up to</w:t>
      </w:r>
    </w:p>
    <w:p>
      <w:r>
        <w:t>40,000 terms) and over character n-grams of length three to five (up to 30,000 features), using</w:t>
      </w:r>
    </w:p>
    <w:p>
      <w:r>
        <w:t>sub-linear term-frequency scaling. The word stream captured phrasing while the character stream</w:t>
      </w:r>
    </w:p>
    <w:p>
      <w:r>
        <w:t>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These terms were defined as follows. A true positive (TP) was a spam message correctly</w:t>
      </w:r>
    </w:p>
    <w:p>
      <w:r>
        <w:t>caught; a false negative (FN) was spam that reached the user; a false positive (FP) was a</w:t>
      </w:r>
    </w:p>
    <w:p>
      <w:r>
        <w:t>legitimate message wrongly marked as spam; and a true negative (TN) was legitimate mail</w:t>
      </w:r>
    </w:p>
    <w:p>
      <w:r>
        <w:t>correctly allowed through. Accuracy was the overall fraction of messages classified correctly;</w:t>
      </w:r>
    </w:p>
    <w:p>
      <w:r>
        <w:t>precision was the fraction of flagged messages that were truly spam (so a high precision meant</w:t>
      </w:r>
    </w:p>
    <w:p>
      <w:r>
        <w:t>few legitimate emails were blocked); recall was the fraction of real spam that was caught (so a</w:t>
      </w:r>
    </w:p>
    <w:p>
      <w:r>
        <w:t>high recall meant little spam slipped through); and the F1 score was the harmonic mean of</w:t>
      </w:r>
    </w:p>
    <w:p>
      <w:r>
        <w:t>precision and recall, summarising the balance between them. Formally, precision was</w:t>
      </w:r>
    </w:p>
    <w:p>
      <w:r>
        <w:t>TP/(TP+FP), recall was TP/(TP+FN), and the F1 score was their harmonic mean. A threshold sweep</w:t>
      </w:r>
    </w:p>
    <w:p>
      <w:r>
        <w:t>reported phishing recall at a low (≤5%) false-positive 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request to the detection service,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the detector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System components and their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Email parsing and feature extraction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Robustly parsed each message, extracted the text for content analysis and the twelve structural metadata signals, handled malformed links safely, and fell back gracefully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classification engine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core detector: it combined word-level and character-level TF-IDF content features with the standardised metadata into one fused representation, fitted the logistic-regression classifier (with Naïve Bayes and a support-vector machine also evaluated for comparison), and produced for each message a label, a spam probability, a confidence value and the list of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Detection service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Exposed the trained engine as a web service with a health check, a prediction endpoint and a feedback endpoint, together with a browser page in which a reviewer could paste an email, see the decision and its signals, and correct it.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Mailbox scanner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Monitored a mail folder and operated in three modes — report only, quarantine, or continuous watch — logging every decision to the review queue and moving flagged mail to a quarantine folder.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 and feedback store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Recorded each reviewer correction as a labelled example, accumulating human-verified data for the next retraining cycle.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Data preparation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the public source corpora into one reviewed dataset, de-duplicated repeated messages, and handled different text encodings, long email bodies and differing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Training and evaluation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Fitted a model on the training split, evaluated it on the held-out split, produced the confusion matrix, metrics, threshold sweep and latency measurements, and saved the trained model for deployment.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(AI-mail) evaluation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Scored external and AI-generated message sets — which could contain only one class — reporting catch rate across thresholds rather than requiring both classes.</w:t>
            </w:r>
          </w:p>
        </w:tc>
      </w:tr>
    </w:tbl>
    <w:p/>
    <w:p>
      <w:r>
        <w:t>The deployed classifier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were written to the labelled feedback store;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model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r>
        <w:t>This chapter explains how the design presented in Chapter 4 was implemented and operated. It</w:t>
      </w:r>
    </w:p>
    <w:p>
      <w:r>
        <w:t>describes the hardware used, the software environment and the role of each library, the</w:t>
      </w:r>
    </w:p>
    <w:p>
      <w:r>
        <w:t>configuration settings of the deployed model, and the commands used to train, evaluate and run</w:t>
      </w:r>
    </w:p>
    <w:p>
      <w:r>
        <w:t>the system, before discussing the implementation issues encountered and how they were resolved.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The system was implemented entirely in Python using a dedicated virtual environment. The</w:t>
      </w:r>
    </w:p>
    <w:p>
      <w:r>
        <w:t>libraries used by the project, together with their version numbers, were recorded in a</w:t>
      </w:r>
    </w:p>
    <w:p>
      <w:r>
        <w:t>requirements text file (requirements.txt) so that the same software environment could be</w:t>
      </w:r>
    </w:p>
    <w:p>
      <w:r>
        <w:t>recreated on another machine, and these dependencies were installed into the virtual</w:t>
      </w:r>
    </w:p>
    <w:p>
      <w:r>
        <w:t>environment. Only mature, widely used open-source libraries were chosen so that the project</w:t>
      </w:r>
    </w:p>
    <w:p>
      <w:r>
        <w:t>could be understood and reproduced without proprietary software. The software stack and the</w:t>
      </w:r>
    </w:p>
    <w:p>
      <w:r>
        <w:t>role of each component are summarised in Table 5.2.</w:t>
      </w:r>
    </w:p>
    <w:p>
      <w:pPr>
        <w:spacing w:before="80" w:after="160"/>
        <w:jc w:val="center"/>
      </w:pPr>
      <w:r>
        <w:rPr>
          <w:b/>
          <w:sz w:val="22"/>
        </w:rPr>
        <w:t>Table 5.2 — Software and libraries used in the project.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Software / library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Purpose in the project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 3.11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Programming language for all scripts and the detection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machine-learning library: TF-IDF vectorisation, Naive Bayes, logistic regression, support-vector machine, feature scaling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NumPy (bundled with scikit-learn)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Numerical array and matrix operations used alongside scikit-learn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Joblib 1.3+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Serialising (saving) the trained model and loading it for prediction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0.110+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Web framework that exposes the detector as a representational-state-transfer (REST)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Uvicorn 0.27+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Server that runs the FastAPI service and accepts prediction requests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Pydantic 2.0+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Validates the data received in each request to the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Matplotlib 3.7+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Generates the result charts and figures used in Chapter 6</w:t>
            </w:r>
          </w:p>
        </w:tc>
      </w:tr>
    </w:tbl>
    <w:p/>
    <w:p>
      <w:r>
        <w:t>The version numbers in Table 5.2 matched the minimum versions recorded in the requirements</w:t>
      </w:r>
    </w:p>
    <w:p>
      <w:r>
        <w:t>file, so the environment could be recreated exactly. The python-docx library (1.1+) was used</w:t>
      </w:r>
    </w:p>
    <w:p>
      <w:r>
        <w:t>only to generate this report document and was not part of the detection system.</w:t>
      </w:r>
    </w:p>
    <w:p>
      <w:r>
        <w:t>Based on Table 5.2, scikit-learn provided every machine-learning component, so no separate</w:t>
      </w:r>
    </w:p>
    <w:p>
      <w:r>
        <w:t>deep-learning framework was needed, which kept the installation light and the training fast on</w:t>
      </w:r>
    </w:p>
    <w:p>
      <w:r>
        <w:t>the central processing unit. The public corpus was prepared with a dataset-preparation script</w:t>
      </w:r>
    </w:p>
    <w:p>
      <w:r>
        <w:t>that merged the source comma-separated-value files, raised the field-size limit for long email</w:t>
      </w:r>
    </w:p>
    <w:p>
      <w:r>
        <w:t>bodies, handled multiple encodings and label formats, and de-duplicated the records.</w:t>
      </w:r>
    </w:p>
    <w:p>
      <w:r>
        <w:t>De-duplication was performed on normalised message content so that identical emails repeated</w:t>
      </w:r>
    </w:p>
    <w:p>
      <w:r>
        <w:t>across the merged corpora were counted once; this prevented the same message from appearing in</w:t>
      </w:r>
    </w:p>
    <w:p>
      <w:r>
        <w:t>both the training and the held-out split, which would otherwise have inflated the reported</w:t>
      </w:r>
    </w:p>
    <w:p>
      <w:r>
        <w:t>metrics. Training on the full corpus completed within minutes, and the resulting model file was</w:t>
      </w:r>
    </w:p>
    <w:p>
      <w:r>
        <w:t>small enough to be loaded instantly by the 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5.3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5.3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system was operated through four stages. First, the public corpus was merged and</w:t>
      </w:r>
    </w:p>
    <w:p>
      <w:r>
        <w:t>de-duplicated into a single reviewed dataset, as described in Section 5.2. Second, the fusion</w:t>
      </w:r>
    </w:p>
    <w:p>
      <w:r>
        <w:t>model was trained on the training split and evaluated on the held-out split, after which the</w:t>
      </w:r>
    </w:p>
    <w:p>
      <w:r>
        <w:t>trained model was saved for deployment. Third, the external and AI-generated message sets were</w:t>
      </w:r>
    </w:p>
    <w:p>
      <w:r>
        <w:t>scored to measure generalisation to modern threats. Fourth, the detection service and the</w:t>
      </w:r>
    </w:p>
    <w:p>
      <w:r>
        <w:t>mailbox watcher loaded the saved model and served predictions, while reviewer corrections</w:t>
      </w:r>
    </w:p>
    <w:p>
      <w:r>
        <w:t>accumulated in the feedback store to be incorporated in the next retraining cycle. These stages</w:t>
      </w:r>
    </w:p>
    <w:p>
      <w:r>
        <w:t>could be triggered through short command-line instructions, which are listed in full in</w:t>
      </w:r>
    </w:p>
    <w:p>
      <w:r>
        <w:t>Appendix D for reproducibility; the following figures illustrate the system in operation.</w:t>
      </w:r>
    </w:p>
    <w:p>
      <w:r>
        <w:t>The review console, shown in Figure 5.2, allowed a reviewer to paste an email and immediately</w:t>
      </w:r>
    </w:p>
    <w:p>
      <w:r>
        <w:t>see its classification, the probability assigned, and the individual structural signals that</w:t>
      </w:r>
    </w:p>
    <w:p>
      <w:r>
        <w:t>fired, together with buttons to confirm or correct the decision. When the detector was accessed</w:t>
      </w:r>
    </w:p>
    <w:p>
      <w:r>
        <w:t>through its service interface, it returned a structured response containing the predicted label,</w:t>
      </w:r>
    </w:p>
    <w:p>
      <w:r>
        <w:t>the spam probability, a confidence value and the list of contributing signals, as shown in</w:t>
      </w:r>
    </w:p>
    <w:p>
      <w:r>
        <w:t>Figure 5.3. Finally, the mailbox watcher could monitor a folder and, in quarantine mode, move</w:t>
      </w:r>
    </w:p>
    <w:p>
      <w:r>
        <w:t>each flagged message into a quarantine directory while logging the decision to the review queue,</w:t>
      </w:r>
    </w:p>
    <w:p>
      <w:r>
        <w:t>as shown in Figure 5.4.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Spam / Ham / Correct feedback buttons.]</w:t>
      </w:r>
    </w:p>
    <w:p>
      <w:pPr>
        <w:jc w:val="center"/>
      </w:pPr>
      <w:r>
        <w:rPr>
          <w:i/>
        </w:rPr>
        <w:t>FIGURE 5.3: Screenshot of an example service prediction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message</w:t>
      </w:r>
    </w:p>
    <w:p>
      <w:r>
        <w:t>being 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r>
        <w:t>This chapter reports and discusses the experimental results. It describes the testing setup and</w:t>
      </w:r>
    </w:p>
    <w:p>
      <w:r>
        <w:t>the metrics used, presents the performance of the three classifiers in both content-only and</w:t>
      </w:r>
    </w:p>
    <w:p>
      <w:r>
        <w:t>fused configurations, examines precision, recall, the false-positive rate, latency and the</w:t>
      </w:r>
    </w:p>
    <w:p>
      <w:r>
        <w:t>effect of the decision threshold, evaluates the adaptive-retraining mechanism, and assesses each</w:t>
      </w:r>
    </w:p>
    <w:p>
      <w:r>
        <w:t>objective against the measured evidence.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the external-evaluation procedure, which reported catch rate across thresholds.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— multinomial Naïve Bayes, class-balanced logistic regression and a</w:t>
      </w:r>
    </w:p>
    <w:p>
      <w:r>
        <w:t>linear support-vector machine — were each trained and evaluated under two feature</w:t>
      </w:r>
    </w:p>
    <w:p>
      <w:r>
        <w:t>configurations: content features only, and the full content–metadata fusion. All five</w:t>
      </w:r>
    </w:p>
    <w:p>
      <w:r>
        <w:t>resulting configurations used the same training and held-out split, the same preprocessing and</w:t>
      </w:r>
    </w:p>
    <w:p>
      <w:r>
        <w:t>the same decision threshold, so that the comparison reflected only the choice of classifier and</w:t>
      </w:r>
    </w:p>
    <w:p>
      <w:r>
        <w:t>feature set. For each configuration the accuracy, precision, recall, F1 score and ROC-AUC were</w:t>
      </w:r>
    </w:p>
    <w:p>
      <w:r>
        <w:t>recorded on the held-out split; the complete command-line procedure is documented in Appendix D.</w:t>
      </w:r>
    </w:p>
    <w:p>
      <w:r>
        <w:t>The results on the full 81,152-email corpus are summarised in Table 6.2. The support-vector</w:t>
      </w:r>
    </w:p>
    <w:p>
      <w:r>
        <w:t>machine's iteration limit was raised from the default 1,000 to 10,000 because the default value</w:t>
      </w:r>
    </w:p>
    <w:p>
      <w:r>
        <w:t>produced a convergence warning on the large fused feature set; with this setting the metrics</w:t>
      </w:r>
    </w:p>
    <w:p>
      <w:r>
        <w:t>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5.3),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controlled before/after demonstration used a held-out new campaign that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(held-out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and metadata extraction component;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 comparison experiment;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r>
        <w:t>This final chapter concludes the project. It first summarises what was achieved and how the</w:t>
      </w:r>
    </w:p>
    <w:p>
      <w:r>
        <w:t>results satisfied each of the four objectives stated in Chapter 1, then reflects on the</w:t>
      </w:r>
    </w:p>
    <w:p>
      <w:r>
        <w:t>limitations of the present system and recommends directions for future work, including a</w:t>
      </w:r>
    </w:p>
    <w:p>
      <w:r>
        <w:t>direct comparison with commercial filters on the same emails and deployment in a live mail</w:t>
      </w:r>
    </w:p>
    <w:p>
      <w:r>
        <w:t>environment.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classifier-comparison output table and the per-configuration</w:t>
      </w:r>
    </w:p>
    <w:p>
      <w:r>
        <w:t>confusion matrices produced during the evaluation described in Section 6.2.]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For reproducibility, the system was run from the command line inside the Python virtual</w:t>
      </w:r>
    </w:p>
    <w:p>
      <w:r>
        <w:t>environment described in Section 5.2. The environment was created and the required libraries</w:t>
      </w:r>
    </w:p>
    <w:p>
      <w:r>
        <w:t>installed with the following commands: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venv .venv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.venv\Scripts\activate          (Windows)   /   source .venv/bin/activate   (Linux/macOS)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pip install -r requirements.txt</w:t>
      </w:r>
    </w:p>
    <w:p>
      <w:r>
        <w:t>The four principal operations — training and evaluation, external (AI-mail) evaluation,</w:t>
      </w:r>
    </w:p>
    <w:p>
      <w:r>
        <w:t>running the detection service, and continuous mailbox monitoring — were invoked as follows: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1. Train on the reviewed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2. Score an external / AI-generated set (a body-only CSV is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3. Start the detection service, then open its address in a web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4. Monitor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r>
        <w:t>[FILL IN: add any further screenshots not placed in Chapter 5, e.g. the training output and the</w:t>
      </w:r>
    </w:p>
    <w:p>
      <w:r>
        <w:t>threshold-sweep output.]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