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PASTE-READY FIXES FOR YOUR SUBMISSION DOCUMENT</w:t>
      </w:r>
    </w:p>
    <w:p>
      <w:r>
        <w:t>Everything below is final text. Copy each block into Word at the place named. Nothing here touches figure/table caption numbering — you said you are handling that yourself.</w:t>
      </w:r>
    </w:p>
    <w:p>
      <w:r>
        <w:t>Order of work (fastest first):</w:t>
      </w:r>
    </w:p>
    <w:p>
      <w:r>
        <w:t>1. FIX 1 — heading prefixes (30 seconds)</w:t>
      </w:r>
    </w:p>
    <w:p>
      <w:r>
        <w:t>2. FIX 2 — find/replace the stale numbers (2 minutes)</w:t>
      </w:r>
    </w:p>
    <w:p>
      <w:r>
        <w:t>3. FIX 3 — Table 4.2 (1 minute)</w:t>
      </w:r>
    </w:p>
    <w:p>
      <w:r>
        <w:t>4. FIX 4 — paste the missing Section 2.1 (biggest, about 5 minutes)</w:t>
      </w:r>
    </w:p>
    <w:p>
      <w:r>
        <w:t>5. FIX 5 — paste the missing 6.5 and 7.2 and the corrected 6.2.3 / 6.2.4 / 7.1</w:t>
      </w:r>
    </w:p>
    <w:p>
      <w:r>
        <w:t>6. FIX 6 — optional: replace 5.3 and 5.4 with the current versions</w:t>
      </w:r>
    </w:p>
    <w:p>
      <w:r>
        <w:br w:type="page"/>
      </w:r>
    </w:p>
    <w:p>
      <w:pPr>
        <w:pStyle w:val="Heading2"/>
      </w:pPr>
      <w:r>
        <w:t>FIX 1 — Stray chapter prefixes on three headings</w:t>
      </w:r>
    </w:p>
    <w:p>
      <w:r>
        <w:t>Delete the prefix so the headings read exactly:</w:t>
      </w:r>
    </w:p>
    <w:tbl>
      <w:tblPr>
        <w:tblStyle w:val="TableGrid"/>
        <w:tblW w:type="auto" w:w="0"/>
        <w:tblLook w:firstColumn="1" w:firstRow="1" w:lastColumn="0" w:lastRow="0" w:noHBand="0" w:noVBand="1" w:val="04A0"/>
      </w:tblPr>
      <w:tblGrid>
        <w:gridCol w:w="4320"/>
        <w:gridCol w:w="4320"/>
      </w:tblGrid>
      <w:tr>
        <w:tc>
          <w:tcPr>
            <w:tcW w:type="dxa" w:w="4320"/>
          </w:tcPr>
          <w:p>
            <w:r>
              <w:rPr>
                <w:b/>
              </w:rPr>
              <w:t>Currently in your document</w:t>
            </w:r>
          </w:p>
        </w:tc>
        <w:tc>
          <w:tcPr>
            <w:tcW w:type="dxa" w:w="4320"/>
          </w:tcPr>
          <w:p>
            <w:r>
              <w:rPr>
                <w:b/>
              </w:rPr>
              <w:t>Change to</w:t>
            </w:r>
          </w:p>
        </w:tc>
      </w:tr>
      <w:tr>
        <w:tc>
          <w:tcPr>
            <w:tcW w:type="dxa" w:w="4320"/>
          </w:tcPr>
          <w:p>
            <w:r>
              <w:t>Chapter 6 6.2 Testing Setup and Result</w:t>
            </w:r>
          </w:p>
        </w:tc>
        <w:tc>
          <w:tcPr>
            <w:tcW w:type="dxa" w:w="4320"/>
          </w:tcPr>
          <w:p>
            <w:r>
              <w:t>6.2 Testing Setup and Result</w:t>
            </w:r>
          </w:p>
        </w:tc>
      </w:tr>
      <w:tr>
        <w:tc>
          <w:tcPr>
            <w:tcW w:type="dxa" w:w="4320"/>
          </w:tcPr>
          <w:p>
            <w:r>
              <w:t>Chapter 7 7.1 Conclusion</w:t>
            </w:r>
          </w:p>
        </w:tc>
        <w:tc>
          <w:tcPr>
            <w:tcW w:type="dxa" w:w="4320"/>
          </w:tcPr>
          <w:p>
            <w:r>
              <w:t>7.1 Conclusion</w:t>
            </w:r>
          </w:p>
        </w:tc>
      </w:tr>
      <w:tr>
        <w:tc>
          <w:tcPr>
            <w:tcW w:type="dxa" w:w="4320"/>
          </w:tcPr>
          <w:p>
            <w:r>
              <w:t>Chapter 8 7.2 Recommendation</w:t>
            </w:r>
          </w:p>
        </w:tc>
        <w:tc>
          <w:tcPr>
            <w:tcW w:type="dxa" w:w="4320"/>
          </w:tcPr>
          <w:p>
            <w:r>
              <w:t>7.3 Recommendation</w:t>
            </w:r>
          </w:p>
        </w:tc>
      </w:tr>
    </w:tbl>
    <w:p>
      <w:r>
        <w:t xml:space="preserve">Note the last one becomes </w:t>
      </w:r>
      <w:r>
        <w:rPr>
          <w:b/>
        </w:rPr>
        <w:t>7.3</w:t>
      </w:r>
      <w:r>
        <w:t>, not 7.2, because 7.2 is the Limitations section you are adding in FIX 5e.</w:t>
      </w:r>
    </w:p>
    <w:p>
      <w:r>
        <w:br w:type="page"/>
      </w:r>
    </w:p>
    <w:p>
      <w:pPr>
        <w:pStyle w:val="Heading2"/>
      </w:pPr>
      <w:r>
        <w:t>FIX 2 — Stale numbers (Word: Ctrl+H, Find and Replace)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w:t>
            </w:r>
          </w:p>
        </w:tc>
        <w:tc>
          <w:tcPr>
            <w:tcW w:type="dxa" w:w="2880"/>
          </w:tcPr>
          <w:p>
            <w:r>
              <w:rPr>
                <w:b/>
              </w:rPr>
              <w:t>Replace with</w:t>
            </w:r>
          </w:p>
        </w:tc>
        <w:tc>
          <w:tcPr>
            <w:tcW w:type="dxa" w:w="2880"/>
          </w:tcPr>
          <w:p>
            <w:r>
              <w:rPr>
                <w:b/>
              </w:rPr>
              <w:t>Where it appears</w:t>
            </w:r>
          </w:p>
        </w:tc>
      </w:tr>
      <w:tr>
        <w:tc>
          <w:tcPr>
            <w:tcW w:type="dxa" w:w="2880"/>
          </w:tcPr>
          <w:p>
            <w:r>
              <w:t>16 milliseconds</w:t>
            </w:r>
          </w:p>
        </w:tc>
        <w:tc>
          <w:tcPr>
            <w:tcW w:type="dxa" w:w="2880"/>
          </w:tcPr>
          <w:p>
            <w:r>
              <w:t>13 milliseconds</w:t>
            </w:r>
          </w:p>
        </w:tc>
        <w:tc>
          <w:tcPr>
            <w:tcW w:type="dxa" w:w="2880"/>
          </w:tcPr>
          <w:p>
            <w:r>
              <w:t>Section 5.1, Section 6.2.5, Section 7.1</w:t>
            </w:r>
          </w:p>
        </w:tc>
      </w:tr>
      <w:tr>
        <w:tc>
          <w:tcPr>
            <w:tcW w:type="dxa" w:w="2880"/>
          </w:tcPr>
          <w:p>
            <w:r>
              <w:t>16 ms</w:t>
            </w:r>
          </w:p>
        </w:tc>
        <w:tc>
          <w:tcPr>
            <w:tcW w:type="dxa" w:w="2880"/>
          </w:tcPr>
          <w:p>
            <w:r>
              <w:t>13 ms</w:t>
            </w:r>
          </w:p>
        </w:tc>
        <w:tc>
          <w:tcPr>
            <w:tcW w:type="dxa" w:w="2880"/>
          </w:tcPr>
          <w:p>
            <w:r>
              <w:t>Table 6.1, Table 6.6</w:t>
            </w:r>
          </w:p>
        </w:tc>
      </w:tr>
      <w:tr>
        <w:tc>
          <w:tcPr>
            <w:tcW w:type="dxa" w:w="2880"/>
          </w:tcPr>
          <w:p>
            <w:r>
              <w:t>41 ms</w:t>
            </w:r>
          </w:p>
        </w:tc>
        <w:tc>
          <w:tcPr>
            <w:tcW w:type="dxa" w:w="2880"/>
          </w:tcPr>
          <w:p>
            <w:r>
              <w:t>33 ms</w:t>
            </w:r>
          </w:p>
        </w:tc>
        <w:tc>
          <w:tcPr>
            <w:tcW w:type="dxa" w:w="2880"/>
          </w:tcPr>
          <w:p>
            <w:r>
              <w:t>Table 6.1</w:t>
            </w:r>
          </w:p>
        </w:tc>
      </w:tr>
      <w:tr>
        <w:tc>
          <w:tcPr>
            <w:tcW w:type="dxa" w:w="2880"/>
          </w:tcPr>
          <w:p>
            <w:r>
              <w:t>11 milliseconds</w:t>
            </w:r>
          </w:p>
        </w:tc>
        <w:tc>
          <w:tcPr>
            <w:tcW w:type="dxa" w:w="2880"/>
          </w:tcPr>
          <w:p>
            <w:r>
              <w:t>13 milliseconds</w:t>
            </w:r>
          </w:p>
        </w:tc>
        <w:tc>
          <w:tcPr>
            <w:tcW w:type="dxa" w:w="2880"/>
          </w:tcPr>
          <w:p>
            <w:r>
              <w:t>Section 6.2.3</w:t>
            </w:r>
          </w:p>
        </w:tc>
      </w:tr>
    </w:tbl>
    <w:p>
      <w:r>
        <w:t>Then fix the adaptation claim by hand. Anywhere the document says recall rose from</w:t>
      </w:r>
    </w:p>
    <w:p>
      <w:r/>
      <w:r>
        <w:rPr>
          <w:b/>
        </w:rPr>
        <w:t>20% to 85%</w:t>
      </w:r>
      <w:r>
        <w:t xml:space="preserve">, that is wrong. The measured result is that recall was </w:t>
      </w:r>
      <w:r>
        <w:rPr>
          <w:b/>
        </w:rPr>
        <w:t>maintained at 95%</w:t>
      </w:r>
      <w:r/>
    </w:p>
    <w:p>
      <w:r>
        <w:t>while ROC-AUC rose from 0.810 to 0.945. Corrected wording is in FIX 5b.</w:t>
      </w:r>
    </w:p>
    <w:p>
      <w:r>
        <w:t>Correct values, for reference:</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Correct value</w:t>
            </w:r>
          </w:p>
        </w:tc>
      </w:tr>
      <w:tr>
        <w:tc>
          <w:tcPr>
            <w:tcW w:type="dxa" w:w="4320"/>
          </w:tcPr>
          <w:p>
            <w:r>
              <w:t>Corpus after de-duplication</w:t>
            </w:r>
          </w:p>
        </w:tc>
        <w:tc>
          <w:tcPr>
            <w:tcW w:type="dxa" w:w="4320"/>
          </w:tcPr>
          <w:p>
            <w:r>
              <w:t>81,152 emails</w:t>
            </w:r>
          </w:p>
        </w:tc>
      </w:tr>
      <w:tr>
        <w:tc>
          <w:tcPr>
            <w:tcW w:type="dxa" w:w="4320"/>
          </w:tcPr>
          <w:p>
            <w:r>
              <w:t>Held-out test split</w:t>
            </w:r>
          </w:p>
        </w:tc>
        <w:tc>
          <w:tcPr>
            <w:tcW w:type="dxa" w:w="4320"/>
          </w:tcPr>
          <w:p>
            <w:r>
              <w:t>20,288 emails</w:t>
            </w:r>
          </w:p>
        </w:tc>
      </w:tr>
      <w:tr>
        <w:tc>
          <w:tcPr>
            <w:tcW w:type="dxa" w:w="4320"/>
          </w:tcPr>
          <w:p>
            <w:r>
              <w:t>Accuracy / Precision / Recall / F1</w:t>
            </w:r>
          </w:p>
        </w:tc>
        <w:tc>
          <w:tcPr>
            <w:tcW w:type="dxa" w:w="4320"/>
          </w:tcPr>
          <w:p>
            <w:r>
              <w:t>0.992 / 0.991 / 0.992 / 0.992</w:t>
            </w:r>
          </w:p>
        </w:tc>
      </w:tr>
      <w:tr>
        <w:tc>
          <w:tcPr>
            <w:tcW w:type="dxa" w:w="4320"/>
          </w:tcPr>
          <w:p>
            <w:r>
              <w:t>ROC-AUC</w:t>
            </w:r>
          </w:p>
        </w:tc>
        <w:tc>
          <w:tcPr>
            <w:tcW w:type="dxa" w:w="4320"/>
          </w:tcPr>
          <w:p>
            <w:r>
              <w:t>1.000</w:t>
            </w:r>
          </w:p>
        </w:tc>
      </w:tr>
      <w:tr>
        <w:tc>
          <w:tcPr>
            <w:tcW w:type="dxa" w:w="4320"/>
          </w:tcPr>
          <w:p>
            <w:r>
              <w:t>Confusion matrix</w:t>
            </w:r>
          </w:p>
        </w:tc>
        <w:tc>
          <w:tcPr>
            <w:tcW w:type="dxa" w:w="4320"/>
          </w:tcPr>
          <w:p>
            <w:r>
              <w:t>TP 10,399; FN 80; TN 9,719; FP 90</w:t>
            </w:r>
          </w:p>
        </w:tc>
      </w:tr>
      <w:tr>
        <w:tc>
          <w:tcPr>
            <w:tcW w:type="dxa" w:w="4320"/>
          </w:tcPr>
          <w:p>
            <w:r>
              <w:t>False-positive rate</w:t>
            </w:r>
          </w:p>
        </w:tc>
        <w:tc>
          <w:tcPr>
            <w:tcW w:type="dxa" w:w="4320"/>
          </w:tcPr>
          <w:p>
            <w:r>
              <w:t>0.9%</w:t>
            </w:r>
          </w:p>
        </w:tc>
      </w:tr>
      <w:tr>
        <w:tc>
          <w:tcPr>
            <w:tcW w:type="dxa" w:w="4320"/>
          </w:tcPr>
          <w:p>
            <w:r>
              <w:t>Latency</w:t>
            </w:r>
          </w:p>
        </w:tc>
        <w:tc>
          <w:tcPr>
            <w:tcW w:type="dxa" w:w="4320"/>
          </w:tcPr>
          <w:p>
            <w:r>
              <w:t>p50 13 ms; p95 33 ms</w:t>
            </w:r>
          </w:p>
        </w:tc>
      </w:tr>
      <w:tr>
        <w:tc>
          <w:tcPr>
            <w:tcW w:type="dxa" w:w="4320"/>
          </w:tcPr>
          <w:p>
            <w:r>
              <w:t>LLM-phishing catch</w:t>
            </w:r>
          </w:p>
        </w:tc>
        <w:tc>
          <w:tcPr>
            <w:tcW w:type="dxa" w:w="4320"/>
          </w:tcPr>
          <w:p>
            <w:r>
              <w:t>92% at low threshold; 84% at 0.55</w:t>
            </w:r>
          </w:p>
        </w:tc>
      </w:tr>
      <w:tr>
        <w:tc>
          <w:tcPr>
            <w:tcW w:type="dxa" w:w="4320"/>
          </w:tcPr>
          <w:p>
            <w:r>
              <w:t>Adaptation</w:t>
            </w:r>
          </w:p>
        </w:tc>
        <w:tc>
          <w:tcPr>
            <w:tcW w:type="dxa" w:w="4320"/>
          </w:tcPr>
          <w:p>
            <w:r>
              <w:t>ROC-AUC 0.810 to 0.945; recall 95% to 95%</w:t>
            </w:r>
          </w:p>
        </w:tc>
      </w:tr>
    </w:tbl>
    <w:p>
      <w:r>
        <w:br w:type="page"/>
      </w:r>
    </w:p>
    <w:p>
      <w:pPr>
        <w:pStyle w:val="Heading2"/>
      </w:pPr>
      <w:r>
        <w:t>FIX 3 — Table 4.2 must list THIRTEEN signals</w:t>
      </w:r>
    </w:p>
    <w:p>
      <w:r>
        <w:t>Your version has 12 because "Exclamation count" was merged into "Urgency markers". Replace the whole of Section 4.3 with this block.</w:t>
      </w:r>
    </w:p>
    <w:p>
      <w:pPr>
        <w:pStyle w:val="Heading2"/>
      </w:pPr>
      <w:r>
        <w:t>4.3 Data and Feature Design</w:t>
      </w:r>
    </w:p>
    <w:p>
      <w:r>
        <w:t>The thirteen structural metadata signals are defined in Table 4.2.</w:t>
      </w:r>
    </w:p>
    <w:p>
      <w:r/>
      <w:r>
        <w:rPr>
          <w:b/>
        </w:rPr>
        <w:t>Table 4.2 — The thirteen structural metadata signals.</w:t>
      </w:r>
      <w:r/>
    </w:p>
    <w:tbl>
      <w:tblPr>
        <w:tblStyle w:val="TableGrid"/>
        <w:tblW w:type="auto" w:w="0"/>
        <w:tblLook w:firstColumn="1" w:firstRow="1" w:lastColumn="0" w:lastRow="0" w:noHBand="0" w:noVBand="1" w:val="04A0"/>
      </w:tblPr>
      <w:tblGrid>
        <w:gridCol w:w="4320"/>
        <w:gridCol w:w="4320"/>
      </w:tblGrid>
      <w:tr>
        <w:tc>
          <w:tcPr>
            <w:tcW w:type="dxa" w:w="4320"/>
          </w:tcPr>
          <w:p>
            <w:r>
              <w:rPr>
                <w:b/>
              </w:rPr>
              <w:t>Signal</w:t>
            </w:r>
          </w:p>
        </w:tc>
        <w:tc>
          <w:tcPr>
            <w:tcW w:type="dxa" w:w="4320"/>
          </w:tcPr>
          <w:p>
            <w:r>
              <w:rPr>
                <w:b/>
              </w:rPr>
              <w:t>Meaning / rationale</w:t>
            </w:r>
          </w:p>
        </w:tc>
      </w:tr>
      <w:tr>
        <w:tc>
          <w:tcPr>
            <w:tcW w:type="dxa" w:w="4320"/>
          </w:tcPr>
          <w:p>
            <w:r>
              <w:t>Subject length</w:t>
            </w:r>
          </w:p>
        </w:tc>
        <w:tc>
          <w:tcPr>
            <w:tcW w:type="dxa" w:w="4320"/>
          </w:tcPr>
          <w:p>
            <w:r>
              <w:t>Phishing often uses unusually short or long subjects.</w:t>
            </w:r>
          </w:p>
        </w:tc>
      </w:tr>
      <w:tr>
        <w:tc>
          <w:tcPr>
            <w:tcW w:type="dxa" w:w="4320"/>
          </w:tcPr>
          <w:p>
            <w:r>
              <w:t>Body length</w:t>
            </w:r>
          </w:p>
        </w:tc>
        <w:tc>
          <w:tcPr>
            <w:tcW w:type="dxa" w:w="4320"/>
          </w:tcPr>
          <w:p>
            <w:r>
              <w:t>Length of the body in characters.</w:t>
            </w:r>
          </w:p>
        </w:tc>
      </w:tr>
      <w:tr>
        <w:tc>
          <w:tcPr>
            <w:tcW w:type="dxa" w:w="4320"/>
          </w:tcPr>
          <w:p>
            <w:r>
              <w:t>Number of links</w:t>
            </w:r>
          </w:p>
        </w:tc>
        <w:tc>
          <w:tcPr>
            <w:tcW w:type="dxa" w:w="4320"/>
          </w:tcPr>
          <w:p>
            <w:r>
              <w:t>Count of URLs in the body.</w:t>
            </w:r>
          </w:p>
        </w:tc>
      </w:tr>
      <w:tr>
        <w:tc>
          <w:tcPr>
            <w:tcW w:type="dxa" w:w="4320"/>
          </w:tcPr>
          <w:p>
            <w:r>
              <w:t>Distinct link domains</w:t>
            </w:r>
          </w:p>
        </w:tc>
        <w:tc>
          <w:tcPr>
            <w:tcW w:type="dxa" w:w="4320"/>
          </w:tcPr>
          <w:p>
            <w:r>
              <w:t>Number of different domains linked; many distinct domains suggest bulk campaigns.</w:t>
            </w:r>
          </w:p>
        </w:tc>
      </w:tr>
      <w:tr>
        <w:tc>
          <w:tcPr>
            <w:tcW w:type="dxa" w:w="4320"/>
          </w:tcPr>
          <w:p>
            <w:r>
              <w:t>Number of attachments</w:t>
            </w:r>
          </w:p>
        </w:tc>
        <w:tc>
          <w:tcPr>
            <w:tcW w:type="dxa" w:w="4320"/>
          </w:tcPr>
          <w:p>
            <w:r>
              <w:t>Count of attached files.</w:t>
            </w:r>
          </w:p>
        </w:tc>
      </w:tr>
      <w:tr>
        <w:tc>
          <w:tcPr>
            <w:tcW w:type="dxa" w:w="4320"/>
          </w:tcPr>
          <w:p>
            <w:r>
              <w:t>Sender has a domain</w:t>
            </w:r>
          </w:p>
        </w:tc>
        <w:tc>
          <w:tcPr>
            <w:tcW w:type="dxa" w:w="4320"/>
          </w:tcPr>
          <w:p>
            <w:r>
              <w:t>Whether the sender address contained a usable domain.</w:t>
            </w:r>
          </w:p>
        </w:tc>
      </w:tr>
      <w:tr>
        <w:tc>
          <w:tcPr>
            <w:tcW w:type="dxa" w:w="4320"/>
          </w:tcPr>
          <w:p>
            <w:r>
              <w:t>Sender–link domain mismatch</w:t>
            </w:r>
          </w:p>
        </w:tc>
        <w:tc>
          <w:tcPr>
            <w:tcW w:type="dxa" w:w="4320"/>
          </w:tcPr>
          <w:p>
            <w:r>
              <w:t>The sender's domain was absent from the body's link domains — a classic phishing signal.</w:t>
            </w:r>
          </w:p>
        </w:tc>
      </w:tr>
      <w:tr>
        <w:tc>
          <w:tcPr>
            <w:tcW w:type="dxa" w:w="4320"/>
          </w:tcPr>
          <w:p>
            <w:r>
              <w:t>Reply-To present</w:t>
            </w:r>
          </w:p>
        </w:tc>
        <w:tc>
          <w:tcPr>
            <w:tcW w:type="dxa" w:w="4320"/>
          </w:tcPr>
          <w:p>
            <w:r>
              <w:t>Whether a Reply-To header was present (a possible redirect of replies).</w:t>
            </w:r>
          </w:p>
        </w:tc>
      </w:tr>
      <w:tr>
        <w:tc>
          <w:tcPr>
            <w:tcW w:type="dxa" w:w="4320"/>
          </w:tcPr>
          <w:p>
            <w:r>
              <w:t>SPF authentication result</w:t>
            </w:r>
          </w:p>
        </w:tc>
        <w:tc>
          <w:tcPr>
            <w:tcW w:type="dxa" w:w="4320"/>
          </w:tcPr>
          <w:p>
            <w:r>
              <w:t>Whether a sender-policy-framework pass was indicated in the authentication headers.</w:t>
            </w:r>
          </w:p>
        </w:tc>
      </w:tr>
      <w:tr>
        <w:tc>
          <w:tcPr>
            <w:tcW w:type="dxa" w:w="4320"/>
          </w:tcPr>
          <w:p>
            <w:r>
              <w:t>DKIM signature present</w:t>
            </w:r>
          </w:p>
        </w:tc>
        <w:tc>
          <w:tcPr>
            <w:tcW w:type="dxa" w:w="4320"/>
          </w:tcPr>
          <w:p>
            <w:r>
              <w:t>Whether a DomainKeys-Identified-Mail signature header was present.</w:t>
            </w:r>
          </w:p>
        </w:tc>
      </w:tr>
      <w:tr>
        <w:tc>
          <w:tcPr>
            <w:tcW w:type="dxa" w:w="4320"/>
          </w:tcPr>
          <w:p>
            <w:r>
              <w:t>Capitals ratio in subject</w:t>
            </w:r>
          </w:p>
        </w:tc>
        <w:tc>
          <w:tcPr>
            <w:tcW w:type="dxa" w:w="4320"/>
          </w:tcPr>
          <w:p>
            <w:r>
              <w:t>Fraction of upper-case letters in the subject line.</w:t>
            </w:r>
          </w:p>
        </w:tc>
      </w:tr>
      <w:tr>
        <w:tc>
          <w:tcPr>
            <w:tcW w:type="dxa" w:w="4320"/>
          </w:tcPr>
          <w:p>
            <w:r>
              <w:t>Exclamation count</w:t>
            </w:r>
          </w:p>
        </w:tc>
        <w:tc>
          <w:tcPr>
            <w:tcW w:type="dxa" w:w="4320"/>
          </w:tcPr>
          <w:p>
            <w:r>
              <w:t>Number of exclamation marks in the subject and body.</w:t>
            </w:r>
          </w:p>
        </w:tc>
      </w:tr>
      <w:tr>
        <w:tc>
          <w:tcPr>
            <w:tcW w:type="dxa" w:w="4320"/>
          </w:tcPr>
          <w:p>
            <w:r>
              <w:t>Urgency term count</w:t>
            </w:r>
          </w:p>
        </w:tc>
        <w:tc>
          <w:tcPr>
            <w:tcW w:type="dxa" w:w="4320"/>
          </w:tcPr>
          <w:p>
            <w:r>
              <w:t>Number of urgent or verification-related terms (eleven-term list) found in the subject and body.</w:t>
            </w:r>
          </w:p>
        </w:tc>
      </w:tr>
    </w:tbl>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thirteen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p>
      <w:pPr>
        <w:pStyle w:val="Heading2"/>
      </w:pPr>
      <w:r>
        <w:t>FIX 4 — Chapter 2 is missing all of Section 2.1</w:t>
      </w:r>
    </w:p>
    <w:p>
      <w:r>
        <w:t>Your Chapter 2 jumps straight to 2.2, but your own 2.3 Summary refers back to the technologies review. Paste this block immediately after the Chapter 2 heading, before 2.2.</w:t>
      </w:r>
    </w:p>
    <w:p>
      <w:pPr>
        <w:pStyle w:val="Heading2"/>
      </w:pPr>
      <w:r>
        <w:t>2.1 Review of the Technologies</w:t>
      </w:r>
    </w:p>
    <w:p>
      <w:pPr>
        <w:pStyle w:val="Heading3"/>
      </w:pPr>
      <w: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3"/>
      </w:pPr>
      <w: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3"/>
      </w:pPr>
      <w: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3"/>
      </w:pPr>
      <w: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3"/>
      </w:pPr>
      <w: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probability estimate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3"/>
      </w:pPr>
      <w: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r>
        <w:br w:type="page"/>
      </w:r>
    </w:p>
    <w:p>
      <w:pPr>
        <w:pStyle w:val="Heading2"/>
      </w:pPr>
      <w:r>
        <w:t>FIX 5 — Missing and corrected results / conclusion sections</w:t>
      </w:r>
    </w:p>
    <w:p>
      <w:pPr>
        <w:pStyle w:val="Heading3"/>
      </w:pPr>
      <w:r>
        <w:t>5a. Replace Section 6.2.3 (fixes the 11 ms figure)</w:t>
      </w:r>
    </w:p>
    <w:p>
      <w:pPr>
        <w:pStyle w:val="Heading3"/>
      </w:pPr>
      <w: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13 milliseconds per email. Table 6.3 summarises the result.</w:t>
      </w:r>
    </w:p>
    <w:p>
      <w:r/>
      <w:r>
        <w:rPr>
          <w:b/>
        </w:rPr>
        <w:t>Table 6.3 — Detection of genuine LLM-generated phishing (n = 4,986).</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Operating threshold</w:t>
            </w:r>
          </w:p>
        </w:tc>
        <w:tc>
          <w:tcPr>
            <w:tcW w:type="dxa" w:w="2880"/>
          </w:tcPr>
          <w:p>
            <w:r>
              <w:rPr>
                <w:b/>
              </w:rPr>
              <w:t>Emails caught</w:t>
            </w:r>
          </w:p>
        </w:tc>
        <w:tc>
          <w:tcPr>
            <w:tcW w:type="dxa" w:w="2880"/>
          </w:tcPr>
          <w:p>
            <w:r>
              <w:rPr>
                <w:b/>
              </w:rPr>
              <w:t>Catch rate</w:t>
            </w:r>
          </w:p>
        </w:tc>
      </w:tr>
      <w:tr>
        <w:tc>
          <w:tcPr>
            <w:tcW w:type="dxa" w:w="2880"/>
          </w:tcPr>
          <w:p>
            <w:r>
              <w:t>Low threshold (favour recall)</w:t>
            </w:r>
          </w:p>
        </w:tc>
        <w:tc>
          <w:tcPr>
            <w:tcW w:type="dxa" w:w="2880"/>
          </w:tcPr>
          <w:p>
            <w:r>
              <w:t>4,565 / 4,986</w:t>
            </w:r>
          </w:p>
        </w:tc>
        <w:tc>
          <w:tcPr>
            <w:tcW w:type="dxa" w:w="2880"/>
          </w:tcPr>
          <w:p>
            <w:r>
              <w:t>92%</w:t>
            </w:r>
          </w:p>
        </w:tc>
      </w:tr>
      <w:tr>
        <w:tc>
          <w:tcPr>
            <w:tcW w:type="dxa" w:w="2880"/>
          </w:tcPr>
          <w:p>
            <w:r>
              <w:t>Default 0.55</w:t>
            </w:r>
          </w:p>
        </w:tc>
        <w:tc>
          <w:tcPr>
            <w:tcW w:type="dxa" w:w="2880"/>
          </w:tcPr>
          <w:p>
            <w:r>
              <w:t>≈ 4,188 / 4,986</w:t>
            </w:r>
          </w:p>
        </w:tc>
        <w:tc>
          <w:tcPr>
            <w:tcW w:type="dxa" w:w="2880"/>
          </w:tcPr>
          <w:p>
            <w:r>
              <w:t>84%</w:t>
            </w:r>
          </w:p>
        </w:tc>
      </w:tr>
    </w:tbl>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r>
        <w:t>[FIGURE 6.3: Catch rate versus decision threshold on the LLM-phishing set.]</w:t>
      </w:r>
    </w:p>
    <w:p>
      <w:pPr>
        <w:pStyle w:val="Heading3"/>
      </w:pPr>
      <w:r>
        <w:t>5b. Replace Section 6.2.4 (fixes the "20% to 85%" claim)</w:t>
      </w:r>
    </w:p>
    <w:p>
      <w:pPr>
        <w:pStyle w:val="Heading3"/>
      </w:pPr>
      <w:r>
        <w:t>6.2.4 Adaptive Improvement (Objective 4)</w:t>
      </w:r>
    </w:p>
    <w:p>
      <w:r>
        <w:t>After retraining on a disjoint, reviewed batch of modern AI-style and business-email-compromise emails, detection ranking on a held-out modern-threat set improved from ROC-AUC 0.81 to 0.945, a 16.7% relative improvement in ranking quality, while phishing recall at the default 0.55 threshold was maintained at 95% and main-corpus accuracy was maintained at 0.991. Table 6.4 summarises the change; in a controlled before/after demonstration on a held-out new campaign, the number of campaign messages caught rose from 0 out of 6 before retraining to 5 out of 6 after a single reviewed retraining cycle.</w:t>
      </w:r>
    </w:p>
    <w:p>
      <w:r/>
      <w:r>
        <w:rPr>
          <w:b/>
        </w:rPr>
        <w:t>Table 6.4 — Before/after one adaptive retraining cycle on held-out modern-threat email.</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Measure</w:t>
            </w:r>
          </w:p>
        </w:tc>
        <w:tc>
          <w:tcPr>
            <w:tcW w:type="dxa" w:w="2880"/>
          </w:tcPr>
          <w:p>
            <w:r>
              <w:rPr>
                <w:b/>
              </w:rPr>
              <w:t>Before retraining</w:t>
            </w:r>
          </w:p>
        </w:tc>
        <w:tc>
          <w:tcPr>
            <w:tcW w:type="dxa" w:w="2880"/>
          </w:tcPr>
          <w:p>
            <w:r>
              <w:rPr>
                <w:b/>
              </w:rPr>
              <w:t>After retraining</w:t>
            </w:r>
          </w:p>
        </w:tc>
      </w:tr>
      <w:tr>
        <w:tc>
          <w:tcPr>
            <w:tcW w:type="dxa" w:w="2880"/>
          </w:tcPr>
          <w:p>
            <w:r>
              <w:t>ROC-AUC (modern set)</w:t>
            </w:r>
          </w:p>
        </w:tc>
        <w:tc>
          <w:tcPr>
            <w:tcW w:type="dxa" w:w="2880"/>
          </w:tcPr>
          <w:p>
            <w:r>
              <w:t>0.81</w:t>
            </w:r>
          </w:p>
        </w:tc>
        <w:tc>
          <w:tcPr>
            <w:tcW w:type="dxa" w:w="2880"/>
          </w:tcPr>
          <w:p>
            <w:r>
              <w:t>0.945</w:t>
            </w:r>
          </w:p>
        </w:tc>
      </w:tr>
      <w:tr>
        <w:tc>
          <w:tcPr>
            <w:tcW w:type="dxa" w:w="2880"/>
          </w:tcPr>
          <w:p>
            <w:r>
              <w:t>Phishing recall at threshold 0.55</w:t>
            </w:r>
          </w:p>
        </w:tc>
        <w:tc>
          <w:tcPr>
            <w:tcW w:type="dxa" w:w="2880"/>
          </w:tcPr>
          <w:p>
            <w:r>
              <w:t>95%</w:t>
            </w:r>
          </w:p>
        </w:tc>
        <w:tc>
          <w:tcPr>
            <w:tcW w:type="dxa" w:w="2880"/>
          </w:tcPr>
          <w:p>
            <w:r>
              <w:t>95%</w:t>
            </w:r>
          </w:p>
        </w:tc>
      </w:tr>
      <w:tr>
        <w:tc>
          <w:tcPr>
            <w:tcW w:type="dxa" w:w="2880"/>
          </w:tcPr>
          <w:p>
            <w:r>
              <w:t>Main-corpus accuracy</w:t>
            </w:r>
          </w:p>
        </w:tc>
        <w:tc>
          <w:tcPr>
            <w:tcW w:type="dxa" w:w="2880"/>
          </w:tcPr>
          <w:p>
            <w:r>
              <w:t>0.991</w:t>
            </w:r>
          </w:p>
        </w:tc>
        <w:tc>
          <w:tcPr>
            <w:tcW w:type="dxa" w:w="2880"/>
          </w:tcPr>
          <w:p>
            <w:r>
              <w:t>0.991 (maintained)</w:t>
            </w:r>
          </w:p>
        </w:tc>
      </w:tr>
      <w:tr>
        <w:tc>
          <w:tcPr>
            <w:tcW w:type="dxa" w:w="2880"/>
          </w:tcPr>
          <w:p>
            <w:r>
              <w:t>Demo campaign caught (held-out set)</w:t>
            </w:r>
          </w:p>
        </w:tc>
        <w:tc>
          <w:tcPr>
            <w:tcW w:type="dxa" w:w="2880"/>
          </w:tcPr>
          <w:p>
            <w:r>
              <w:t>0 / 6</w:t>
            </w:r>
          </w:p>
        </w:tc>
        <w:tc>
          <w:tcPr>
            <w:tcW w:type="dxa" w:w="2880"/>
          </w:tcPr>
          <w:p>
            <w:r>
              <w:t>5 / 6</w:t>
            </w:r>
          </w:p>
        </w:tc>
      </w:tr>
    </w:tbl>
    <w:p>
      <w:r>
        <w:t>The improvement was greatest for threat types actually represented in the reviewed feedback; this scope was reported honestly rather than claiming universal adaptation. The same before/after comparison was also applied to a second, independent held-out set, on which the baseline detector was already close to its ceiling at ROC-AUC 0.965 and 100% recall. After the same retraining cycle, recall on that set remained at 100% while ROC-AUC moved slightly to 0.951. Adaptation therefore did not improve a set on which there was effectively no headroom to gain, and the small change in ranking quality is within the variation expected from refitting on a marginally different training sample. This outcome is reported because it delimits the claim: reviewed feedback improves detection for threat families the baseline handles poorly, and neither improves nor materially harms performance where the baseline is already near-perfect. The retraining cycle was run as a scheduled batch step, and the retrained model was evaluated on the held-out data before further use, confirming that main-corpus accuracy was maintained while the target threat ranking improved. Retraining in controlled batches rather than continuously distinguished the system from both a static model and an uncontrolled online-learning loop. The improvement in ranking is visualised by the two ROC curves, before and after retraining, in Figure 6.4.</w:t>
      </w:r>
    </w:p>
    <w:p>
      <w:r>
        <w:t>[FIGURE 6.4: ROC curves before and after one adaptive retraining cycle.]</w:t>
      </w:r>
    </w:p>
    <w:p>
      <w:pPr>
        <w:pStyle w:val="Heading3"/>
      </w:pPr>
      <w:r>
        <w:t>5c. Add Section 6.5 Concluding Remark (missing entirely) at the end of Chapter 6</w:t>
      </w:r>
    </w:p>
    <w:p>
      <w:pPr>
        <w:pStyle w:val="Heading2"/>
      </w:pPr>
      <w: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pPr>
        <w:pStyle w:val="Heading3"/>
      </w:pPr>
      <w:r>
        <w:t>5d. Replace Section 7.1 Conclusion (fixes 16 ms)</w:t>
      </w:r>
    </w:p>
    <w:p>
      <w:pPr>
        <w:pStyle w:val="Heading2"/>
      </w:pPr>
      <w:r>
        <w:t>7.1 Conclusion</w:t>
      </w:r>
    </w:p>
    <w:p>
      <w:r>
        <w:t>An adaptive email spam detection system using artificial intelligence and content–metadata fusion was designed, implemented and evaluated. The system fused word and character TF-IDF content features with thirteen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13 milliseconds per email on a commodity central processing unit and a false-positive rate of about</w:t>
      </w:r>
    </w:p>
    <w:p>
      <w:r>
        <w:t>0.9%. It flagged 92% of previously unseen phishing emails generated by three large language</w:t>
      </w:r>
    </w:p>
    <w:p>
      <w:r>
        <w:t>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3"/>
      </w:pPr>
      <w:r>
        <w:t>5e. Add Section 7.2 (missing entirely), between 7.1 and the Recommendation section</w:t>
      </w:r>
    </w:p>
    <w:p>
      <w:pPr>
        <w:pStyle w:val="Heading2"/>
      </w:pPr>
      <w:r>
        <w:t>7.2 Limitations of the Adaptation Mechanism</w:t>
      </w:r>
    </w:p>
    <w:p>
      <w:r>
        <w:t>Two properties of the adaptation loop constrain how quickly and how safely the deployed model can change, and both were deliberate design decisions rather than oversights.</w:t>
      </w:r>
    </w:p>
    <w:p>
      <w:r>
        <w:t>The first is that retraining is a batch operation and cannot be performed on a single new message. Term weighting in the proposed system is corpus-dependent: as Equation (3.2) shows, the inverse document frequency of a term is computed from the total number of documents and the number of documents containing that term, so introducing one additional message changes the weight of every term in the vocabulary. The vectoriser and the classifier must therefore be refitted together over the whole corpus, which takes several minutes on the 81,152-message dataset. Training on the corrected message alone is not a valid alternative: the resulting model would represent only that single example and would discard everything learned from the remaining corpus, an effect known as catastrophic forgetting. Retraining is consequently performed as a scheduled maintenance action on the corpus together with the accumulated corrections, rather than after every individual review.</w:t>
      </w:r>
    </w:p>
    <w:p>
      <w:r>
        <w:t>An incremental alternative exists. A stochastic-gradient classifier combined with feature hashing supports partial fitting, and would allow the model to be updated in milliseconds for each reviewed message. It was not adopted here for two reasons. Such a model forgoes the calibrated probability estimates that the present system relies on for its adjustable decision threshold and for the explanation of individual verdicts, and, more importantly, it removes the human checkpoint between a reviewer's correction and a change in the deployed model. That checkpoint is a security control. Adaptive filters are a documented target for label-flipping poisoning attacks, in which an adversary submits deliberately mislabelled messages so that the decision boundary shifts in their favour over time. In the proposed system a correction cannot alter the deployed model until a reviewer explicitly requests retraining, and the candidate model is then accepted only if it does not reduce ranking quality on the held-out split; a batch of corrupted corrections is therefore rejected automatically rather than silently degrading detection.</w:t>
      </w:r>
    </w:p>
    <w:p>
      <w:r>
        <w:t>The second limitation is that the validation gate protects against a poor batch of corrections but does not provide model versioning. Once a candidate model has been accepted and deployed, there is no automated mechanism to revert to a previous version, and a reviewer correction recorded in error can be changed or withdrawn only before the next retraining cycle is run.</w:t>
      </w:r>
    </w:p>
    <w:p>
      <w:r>
        <w:br w:type="page"/>
      </w:r>
    </w:p>
    <w:p>
      <w:pPr>
        <w:pStyle w:val="Heading2"/>
      </w:pPr>
      <w:r>
        <w:t>FIX 6 — Optional: Sections 5.3 and 5.4</w:t>
      </w:r>
    </w:p>
    <w:p>
      <w:r>
        <w:t>Section 5.3 has been rewritten in the departmental exemplar style: a short lead-in paragraph naming what is being configured, then four numbered, step-by-step configuration procedures (environment, detector, mail account, detection service, filtering and review). It now includes a Detection Service Configuration subsection with a new Table 5.5 listing the service endpoints, which pushes the old "Command-line operations" table to Table 5.6. Replace your whole Section 5.3 with the block below, and renumber that later table to 5.6.</w:t>
      </w:r>
    </w:p>
    <w:p>
      <w:r>
        <w:t>Section 5.4 in your document has only three figures. The current version has five numbered subsections, one per figure, each with an explicit "Figure 5.x shows..." elaboration, which is what the marking guidance on diagrams asks for.</w:t>
      </w:r>
    </w:p>
    <w:p>
      <w:pPr>
        <w:pStyle w:val="Heading3"/>
      </w:pPr>
      <w:r>
        <w:t>6a. Section 5.3</w:t>
      </w:r>
    </w:p>
    <w:p>
      <w:pPr>
        <w:pStyle w:val="Heading2"/>
      </w:pPr>
      <w:r>
        <w:t>5.3 Setting and Configuration</w:t>
      </w:r>
    </w:p>
    <w:p>
      <w:r>
        <w:t>In this section, we outline the critical setup and configuration steps required to enable the key functionalities of the system, namely local classification, live mailbox retrieval and reviewer-driven retraining. These configurations ensure that the machine can run the detector in an isolated Python environment, that the trained model is available to every component, and that the connector is able to authenticate to a mail account over the Internet Message Access Protocol (IMAP) and act on new messages safely. No paid service, cloud classification interface or third-party scanning key is required: all classification is performed locally by the trained model, and the only credential involved is the mail-account application password used to read the mailbox. Below are the steps for configuring the Python environment, the detector itself, the mail account used for live filtering, the local detection service interface, and the filtering and review behaviour of the running system.</w:t>
      </w:r>
    </w:p>
    <w:p>
      <w:pPr>
        <w:pStyle w:val="Heading3"/>
      </w:pPr>
      <w:r>
        <w:t>5.3.1 Python Environment Configuration</w:t>
      </w:r>
    </w:p>
    <w:p>
      <w:r>
        <w:t xml:space="preserve">1. </w:t>
      </w:r>
      <w:r>
        <w:rPr>
          <w:b/>
        </w:rPr>
        <w:t>Install Python:</w:t>
      </w:r>
      <w:r>
        <w:t xml:space="preserve"> download Python 3.13 for Windows from python.org and, during</w:t>
      </w:r>
    </w:p>
    <w:p>
      <w:r>
        <w:t>installation, tick "Add python.exe to PATH" so that the interpreter can be invoked from any terminal.</w:t>
      </w:r>
    </w:p>
    <w:p>
      <w:r>
        <w:t xml:space="preserve">2. </w:t>
      </w:r>
      <w:r>
        <w:rPr>
          <w:b/>
        </w:rPr>
        <w:t>Obtain the project files:</w:t>
      </w:r>
      <w:r>
        <w:t xml:space="preserve"> place the project folder on the local disk and open a terminal</w:t>
      </w:r>
    </w:p>
    <w:p>
      <w:r>
        <w:t>in that folder.</w:t>
      </w:r>
    </w:p>
    <w:p>
      <w:r>
        <w:t xml:space="preserve">3. </w:t>
      </w:r>
      <w:r>
        <w:rPr>
          <w:b/>
        </w:rPr>
        <w:t>Create the virtual environment:</w:t>
      </w:r>
      <w:r>
        <w:t xml:space="preserve"> run python -m venv .venv so that the project libraries</w:t>
      </w:r>
    </w:p>
    <w:p>
      <w:r>
        <w:t>are isolated from the system-wide Python installation.</w:t>
      </w:r>
    </w:p>
    <w:p>
      <w:r>
        <w:t xml:space="preserve">4. </w:t>
      </w:r>
      <w:r>
        <w:rPr>
          <w:b/>
        </w:rPr>
        <w:t>Activate the environment:</w:t>
      </w:r>
      <w:r>
        <w:t xml:space="preserve"> run .venv\Scripts\activate. The terminal prompt is then</w:t>
      </w:r>
    </w:p>
    <w:p>
      <w:r>
        <w:t>prefixed with (.venv), confirming that the environment is active.</w:t>
      </w:r>
    </w:p>
    <w:p>
      <w:r>
        <w:t xml:space="preserve">5. </w:t>
      </w:r>
      <w:r>
        <w:rPr>
          <w:b/>
        </w:rPr>
        <w:t>Install the required libraries:</w:t>
      </w:r>
      <w:r>
        <w:t xml:space="preserve"> run pip install -r requirements.txt, which installs</w:t>
      </w:r>
    </w:p>
    <w:p>
      <w:r>
        <w:t>scikit-learn, FastAPI, Uvicorn, NumPy, SciPy, Matplotlib and Joblib together with their dependencies.</w:t>
      </w:r>
    </w:p>
    <w:p>
      <w:r>
        <w:t xml:space="preserve">6. </w:t>
      </w:r>
      <w:r>
        <w:rPr>
          <w:b/>
        </w:rPr>
        <w:t>Verify the installation:</w:t>
      </w:r>
      <w:r>
        <w:t xml:space="preserve"> run pip list and confirm that the packages listed in Table 5.2</w:t>
      </w:r>
    </w:p>
    <w:p>
      <w:r>
        <w:t>are present with the stated versions, as shown in Figure 5.1.</w:t>
      </w:r>
    </w:p>
    <w:p>
      <w:r>
        <w:t>No configuration file, environment variable or administrator privilege is required for this stage.</w:t>
      </w:r>
    </w:p>
    <w:p>
      <w:pPr>
        <w:pStyle w:val="Heading3"/>
      </w:pPr>
      <w:r>
        <w:t>5.3.2 Detector Configuration</w:t>
      </w:r>
    </w:p>
    <w:p>
      <w:r>
        <w:t xml:space="preserve">1. </w:t>
      </w:r>
      <w:r>
        <w:rPr>
          <w:b/>
        </w:rPr>
        <w:t>Prepare the corpus:</w:t>
      </w:r>
      <w:r>
        <w:t xml:space="preserve"> run python -m spam_detection.prepare_dataset to merge the six</w:t>
      </w:r>
    </w:p>
    <w:p>
      <w:r>
        <w:t>public source files, de-duplicate them on normalised message content and write the reviewed dataset to data/reviewed_mail.csv (81,152 messages).</w:t>
      </w:r>
    </w:p>
    <w:p>
      <w:r>
        <w:t xml:space="preserve">2. </w:t>
      </w:r>
      <w:r>
        <w:rPr>
          <w:b/>
        </w:rPr>
        <w:t>Train the fusion model:</w:t>
      </w:r>
      <w:r>
        <w:t xml:space="preserve"> run python -m spam_detection.train to fit the word and</w:t>
      </w:r>
    </w:p>
    <w:p>
      <w:r>
        <w:t>character TF-IDF vectorisers, the metadata vectoriser and the class-balanced logistic regression on the training split.</w:t>
      </w:r>
    </w:p>
    <w:p>
      <w:r>
        <w:t xml:space="preserve">3. </w:t>
      </w:r>
      <w:r>
        <w:rPr>
          <w:b/>
        </w:rPr>
        <w:t>Confirm the saved model:</w:t>
      </w:r>
      <w:r>
        <w:t xml:space="preserve"> check that models/email_spam_detector.joblib has been created.</w:t>
      </w:r>
    </w:p>
    <w:p>
      <w:r>
        <w:t>This single file contains the vectorisers, the scaler and the classifier, so the service and the mailbox connector always load an identical predictor.</w:t>
      </w:r>
    </w:p>
    <w:p>
      <w:r>
        <w:t xml:space="preserve">4. </w:t>
      </w:r>
      <w:r>
        <w:rPr>
          <w:b/>
        </w:rPr>
        <w:t>Set the decision threshold:</w:t>
      </w:r>
      <w:r>
        <w:t xml:space="preserve"> the deployed threshold defaults to 0.55. It may be re-tuned</w:t>
      </w:r>
    </w:p>
    <w:p>
      <w:r>
        <w:t>per deployment using the threshold sweep produced during evaluation; lowering the threshold increases recall at the cost of more false positives, which is useful when catch rate on AI-style mail is prioritised.</w:t>
      </w:r>
    </w:p>
    <w:p>
      <w:r>
        <w:t xml:space="preserve">5. </w:t>
      </w:r>
      <w:r>
        <w:rPr>
          <w:b/>
        </w:rPr>
        <w:t>Review the hyper-parameters:</w:t>
      </w:r>
      <w:r>
        <w:t xml:space="preserve"> the classifier and feature settings are fixed at training</w:t>
      </w:r>
    </w:p>
    <w:p>
      <w:r>
        <w:t>time and are listed in Table 5.3.</w:t>
      </w:r>
    </w:p>
    <w:p>
      <w:r/>
      <w:r>
        <w:rPr>
          <w:b/>
        </w:rPr>
        <w:t>Table 5.3 — Model and feature hyper-parameters.</w:t>
      </w:r>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Setting</w:t>
            </w:r>
          </w:p>
        </w:tc>
      </w:tr>
      <w:tr>
        <w:tc>
          <w:tcPr>
            <w:tcW w:type="dxa" w:w="4320"/>
          </w:tcPr>
          <w:p>
            <w:r>
              <w:t>Word TF-IDF</w:t>
            </w:r>
          </w:p>
        </w:tc>
        <w:tc>
          <w:tcPr>
            <w:tcW w:type="dxa" w:w="4320"/>
          </w:tcPr>
          <w:p>
            <w:r>
              <w:t>n-grams 1–2; max 40,000 features; sub-linear TF</w:t>
            </w:r>
          </w:p>
        </w:tc>
      </w:tr>
      <w:tr>
        <w:tc>
          <w:tcPr>
            <w:tcW w:type="dxa" w:w="4320"/>
          </w:tcPr>
          <w:p>
            <w:r>
              <w:t>Character TF-IDF</w:t>
            </w:r>
          </w:p>
        </w:tc>
        <w:tc>
          <w:tcPr>
            <w:tcW w:type="dxa" w:w="4320"/>
          </w:tcPr>
          <w:p>
            <w:r>
              <w:t>`char_wb`; n-grams 3–5; max 30,000 features; sub-linear TF</w:t>
            </w:r>
          </w:p>
        </w:tc>
      </w:tr>
      <w:tr>
        <w:tc>
          <w:tcPr>
            <w:tcW w:type="dxa" w:w="4320"/>
          </w:tcPr>
          <w:p>
            <w:r>
              <w:t>Metadata vectoriser</w:t>
            </w:r>
          </w:p>
        </w:tc>
        <w:tc>
          <w:tcPr>
            <w:tcW w:type="dxa" w:w="4320"/>
          </w:tcPr>
          <w:p>
            <w:r>
              <w:t>`DictVectorizer` (sparse)</w:t>
            </w:r>
          </w:p>
        </w:tc>
      </w:tr>
      <w:tr>
        <w:tc>
          <w:tcPr>
            <w:tcW w:type="dxa" w:w="4320"/>
          </w:tcPr>
          <w:p>
            <w:r>
              <w:t>Metadata scaling</w:t>
            </w:r>
          </w:p>
        </w:tc>
        <w:tc>
          <w:tcPr>
            <w:tcW w:type="dxa" w:w="4320"/>
          </w:tcPr>
          <w:p>
            <w:r>
              <w:t>`StandardScaler(with_mean=False)`</w:t>
            </w:r>
          </w:p>
        </w:tc>
      </w:tr>
      <w:tr>
        <w:tc>
          <w:tcPr>
            <w:tcW w:type="dxa" w:w="4320"/>
          </w:tcPr>
          <w:p>
            <w:r>
              <w:t>Classifier</w:t>
            </w:r>
          </w:p>
        </w:tc>
        <w:tc>
          <w:tcPr>
            <w:tcW w:type="dxa" w:w="4320"/>
          </w:tcPr>
          <w:p>
            <w:r>
              <w:t>`LogisticRegression(class_weight="balanced", C=1.5, max_iter=1000)`</w:t>
            </w:r>
          </w:p>
        </w:tc>
      </w:tr>
      <w:tr>
        <w:tc>
          <w:tcPr>
            <w:tcW w:type="dxa" w:w="4320"/>
          </w:tcPr>
          <w:p>
            <w:r>
              <w:t>Decision threshold</w:t>
            </w:r>
          </w:p>
        </w:tc>
        <w:tc>
          <w:tcPr>
            <w:tcW w:type="dxa" w:w="4320"/>
          </w:tcPr>
          <w:p>
            <w:r>
              <w:t>0.55 default; sweep-tunable</w:t>
            </w:r>
          </w:p>
        </w:tc>
      </w:tr>
      <w:tr>
        <w:tc>
          <w:tcPr>
            <w:tcW w:type="dxa" w:w="4320"/>
          </w:tcPr>
          <w:p>
            <w:r>
              <w:t>Random state</w:t>
            </w:r>
          </w:p>
        </w:tc>
        <w:tc>
          <w:tcPr>
            <w:tcW w:type="dxa" w:w="4320"/>
          </w:tcPr>
          <w:p>
            <w:r>
              <w:t>Fixed seed for reproducibility</w:t>
            </w:r>
          </w:p>
        </w:tc>
      </w:tr>
    </w:tbl>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thirteen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A fixed random seed ensured that the same training run could be reproduced exactly.</w:t>
      </w:r>
    </w:p>
    <w:p>
      <w:pPr>
        <w:pStyle w:val="Heading3"/>
      </w:pPr>
      <w:r>
        <w:t>5.3.3 Mail-Account Configuration for Live Filtering</w:t>
      </w:r>
    </w:p>
    <w:p>
      <w:r>
        <w:t>To filter real incoming mail rather than pasted samples, the detector connects to a mail account over IMAP, the same protocol ordinary mail clients use to read mail. A dedicated test account was used throughout, so that no third party's private correspondence was processed.</w:t>
      </w:r>
    </w:p>
    <w:p>
      <w:r>
        <w:t xml:space="preserve">1. </w:t>
      </w:r>
      <w:r>
        <w:rPr>
          <w:b/>
        </w:rPr>
        <w:t>Create a dedicated test mail account:</w:t>
      </w:r>
      <w:r>
        <w:t xml:space="preserve"> register an account used only for this project, so</w:t>
      </w:r>
    </w:p>
    <w:p>
      <w:r>
        <w:t>that no personal or third-party mail is read by the system.</w:t>
      </w:r>
    </w:p>
    <w:p>
      <w:r>
        <w:t xml:space="preserve">2. </w:t>
      </w:r>
      <w:r>
        <w:rPr>
          <w:b/>
        </w:rPr>
        <w:t>Enable two-step verification:</w:t>
      </w:r>
      <w:r>
        <w:t xml:space="preserve"> in the account security settings, turn on two-step</w:t>
      </w:r>
    </w:p>
    <w:p>
      <w:r>
        <w:t>verification. This is a prerequisite for issuing an application password.</w:t>
      </w:r>
    </w:p>
    <w:p>
      <w:r>
        <w:t xml:space="preserve">3. </w:t>
      </w:r>
      <w:r>
        <w:rPr>
          <w:b/>
        </w:rPr>
        <w:t>Generate an application password:</w:t>
      </w:r>
      <w:r>
        <w:t xml:space="preserve"> in the same security settings, create a sixteen-</w:t>
      </w:r>
    </w:p>
    <w:p>
      <w:r>
        <w:t>character application password for the connector and copy it. The ordinary login password is never used and is never stored by the system.</w:t>
      </w:r>
    </w:p>
    <w:p>
      <w:r>
        <w:t xml:space="preserve">4. </w:t>
      </w:r>
      <w:r>
        <w:rPr>
          <w:b/>
        </w:rPr>
        <w:t>Supply the credentials as environment variables:</w:t>
      </w:r>
      <w:r>
        <w:t xml:space="preserve"> set them in the terminal rather than</w:t>
      </w:r>
    </w:p>
    <w:p>
      <w:r>
        <w:t>editing any source file, so that no password is written into the code or into this report:</w:t>
      </w:r>
    </w:p>
    <w:p>
      <w:r>
        <w:t>$env:IMAP_USER = "the test address"</w:t>
      </w:r>
    </w:p>
    <w:p>
      <w:r>
        <w:t>$env:IMAP_PASS = "the sixteen-character application password"</w:t>
      </w:r>
    </w:p>
    <w:p>
      <w:r>
        <w:t xml:space="preserve">5. </w:t>
      </w:r>
      <w:r>
        <w:rPr>
          <w:b/>
        </w:rPr>
        <w:t>List the available mailbox folders:</w:t>
      </w:r>
      <w:r>
        <w:t xml:space="preserve"> run</w:t>
      </w:r>
    </w:p>
    <w:p>
      <w:r>
        <w:t>python -m spam_detection.imap_watch --list-folders to confirm that the connection and the credentials are accepted and to obtain the exact folder names used by the provider.</w:t>
      </w:r>
    </w:p>
    <w:p>
      <w:r>
        <w:t xml:space="preserve">6. </w:t>
      </w:r>
      <w:r>
        <w:rPr>
          <w:b/>
        </w:rPr>
        <w:t>Run a read-only check first:</w:t>
      </w:r>
      <w:r>
        <w:t xml:space="preserve"> the connector defaults to report mode, in which messages</w:t>
      </w:r>
    </w:p>
    <w:p>
      <w:r>
        <w:t>are scored and logged but nothing is moved or deleted: python -m spam_detection.imap_watch --action report</w:t>
      </w:r>
    </w:p>
    <w:p>
      <w:r>
        <w:t xml:space="preserve">7. </w:t>
      </w:r>
      <w:r>
        <w:rPr>
          <w:b/>
        </w:rPr>
        <w:t>Select the folder to monitor, if required:</w:t>
      </w:r>
      <w:r>
        <w:t xml:space="preserve"> the connector reads INBOX by default; another</w:t>
      </w:r>
    </w:p>
    <w:p>
      <w:r>
        <w:t>folder may be chosen with, for example, python -m spam_detection.imap_watch --source-folder "[Gmail]/Spam" --action report</w:t>
      </w:r>
    </w:p>
    <w:p>
      <w:r>
        <w:t xml:space="preserve">8. </w:t>
      </w:r>
      <w:r>
        <w:rPr>
          <w:b/>
        </w:rPr>
        <w:t>Enable automatic filtering:</w:t>
      </w:r>
      <w:r>
        <w:t xml:space="preserve"> once the read-only check succeeds, start continuous</w:t>
      </w:r>
    </w:p>
    <w:p>
      <w:r>
        <w:t>monitoring with quarantine enabled: python -m spam_detection.imap_watch --action quarantine --watch</w:t>
      </w:r>
    </w:p>
    <w:p>
      <w:pPr>
        <w:pStyle w:val="Heading3"/>
      </w:pPr>
      <w:r>
        <w:t>5.3.4 Detection Service Configuration</w:t>
      </w:r>
    </w:p>
    <w:p>
      <w:r>
        <w:t>The detector is exposed as a local representational-state-transfer (REST) service built with FastAPI and served by Uvicorn. The service is what the review console, the mailbox watchers and any external automation talk to, so it must be started and verified before live filtering is attempted. It listens only on the local machine and requires no account, no key and no internet connection.</w:t>
      </w:r>
    </w:p>
    <w:p>
      <w:r>
        <w:t xml:space="preserve">1. </w:t>
      </w:r>
      <w:r>
        <w:rPr>
          <w:b/>
        </w:rPr>
        <w:t>Activate the environment:</w:t>
      </w:r>
      <w:r>
        <w:t xml:space="preserve"> open a terminal in the project folder and run</w:t>
      </w:r>
    </w:p>
    <w:p>
      <w:r>
        <w:t>.venv\Scripts\activate.</w:t>
      </w:r>
    </w:p>
    <w:p>
      <w:r>
        <w:t xml:space="preserve">2. </w:t>
      </w:r>
      <w:r>
        <w:rPr>
          <w:b/>
        </w:rPr>
        <w:t>Confirm the model is present:</w:t>
      </w:r>
      <w:r>
        <w:t xml:space="preserve"> check that models/email_spam_detector.joblib exists. The</w:t>
      </w:r>
    </w:p>
    <w:p>
      <w:r>
        <w:t>service loads this file once at start-up; if it is missing, the service still starts but every prediction request is refused.</w:t>
      </w:r>
    </w:p>
    <w:p>
      <w:r>
        <w:t xml:space="preserve">3. </w:t>
      </w:r>
      <w:r>
        <w:rPr>
          <w:b/>
        </w:rPr>
        <w:t>Start the service:</w:t>
      </w:r>
      <w:r>
        <w:t xml:space="preserve"> run uvicorn spam_detection.api:app --reload. Uvicorn binds to</w:t>
      </w:r>
    </w:p>
    <w:p>
      <w:r>
        <w:t>http://127.0.0.1:8000 by default and prints Application startup complete when ready.</w:t>
      </w:r>
    </w:p>
    <w:p>
      <w:r>
        <w:t xml:space="preserve">4. </w:t>
      </w:r>
      <w:r>
        <w:rPr>
          <w:b/>
        </w:rPr>
        <w:t>Change the port if 8000 is occupied:</w:t>
      </w:r>
      <w:r>
        <w:t xml:space="preserve"> restart with an explicit port, for example</w:t>
      </w:r>
    </w:p>
    <w:p>
      <w:r>
        <w:t>uvicorn spam_detection.api:app --port 8001.</w:t>
      </w:r>
    </w:p>
    <w:p>
      <w:r>
        <w:t xml:space="preserve">5. </w:t>
      </w:r>
      <w:r>
        <w:rPr>
          <w:b/>
        </w:rPr>
        <w:t>Verify that the service is healthy:</w:t>
      </w:r>
      <w:r>
        <w:t xml:space="preserve"> open http://localhost:8000/health in a browser. A</w:t>
      </w:r>
    </w:p>
    <w:p>
      <w:r>
        <w:t>response of {"status": "ready"} confirms that the model loaded successfully; a response of model_not_loaded indicates that step 2 was not satisfied.</w:t>
      </w:r>
    </w:p>
    <w:p>
      <w:r>
        <w:t xml:space="preserve">6. </w:t>
      </w:r>
      <w:r>
        <w:rPr>
          <w:b/>
        </w:rPr>
        <w:t>Open the review console:</w:t>
      </w:r>
      <w:r>
        <w:t xml:space="preserve"> browse to http://localhost:8000. The console is served by the</w:t>
      </w:r>
    </w:p>
    <w:p>
      <w:r>
        <w:t>same process, so no separate front-end installation is required.</w:t>
      </w:r>
    </w:p>
    <w:p>
      <w:r>
        <w:t xml:space="preserve">7. </w:t>
      </w:r>
      <w:r>
        <w:rPr>
          <w:b/>
        </w:rPr>
        <w:t>Test a single prediction:</w:t>
      </w:r>
      <w:r>
        <w:t xml:space="preserve"> paste a raw email into the console and submit it, or send a</w:t>
      </w:r>
    </w:p>
    <w:p>
      <w:r>
        <w:t>request directly to the /predict endpoint, and confirm that a label, a spam probability and the contributing metadata signals are returned.</w:t>
      </w:r>
    </w:p>
    <w:p>
      <w:r>
        <w:t xml:space="preserve">8. </w:t>
      </w:r>
      <w:r>
        <w:rPr>
          <w:b/>
        </w:rPr>
        <w:t>Leave the service running:</w:t>
      </w:r>
      <w:r>
        <w:t xml:space="preserve"> the mailbox watchers and the retraining control depend on it,</w:t>
      </w:r>
    </w:p>
    <w:p>
      <w:r>
        <w:t>so the terminal window is kept open for the duration of a filtering session.</w:t>
      </w:r>
    </w:p>
    <w:p>
      <w:r>
        <w:t>The endpoints the service exposes are listed in Table 5.5.</w:t>
      </w:r>
    </w:p>
    <w:p>
      <w:r/>
      <w:r>
        <w:rPr>
          <w:b/>
        </w:rPr>
        <w:t>Table 5.5 — Detection-service endpoints.</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Endpoint</w:t>
            </w:r>
          </w:p>
        </w:tc>
        <w:tc>
          <w:tcPr>
            <w:tcW w:type="dxa" w:w="2880"/>
          </w:tcPr>
          <w:p>
            <w:r>
              <w:rPr>
                <w:b/>
              </w:rPr>
              <w:t>Method</w:t>
            </w:r>
          </w:p>
        </w:tc>
        <w:tc>
          <w:tcPr>
            <w:tcW w:type="dxa" w:w="2880"/>
          </w:tcPr>
          <w:p>
            <w:r>
              <w:rPr>
                <w:b/>
              </w:rPr>
              <w:t>Purpose</w:t>
            </w:r>
          </w:p>
        </w:tc>
      </w:tr>
      <w:tr>
        <w:tc>
          <w:tcPr>
            <w:tcW w:type="dxa" w:w="2880"/>
          </w:tcPr>
          <w:p>
            <w:r>
              <w:t>`/`</w:t>
            </w:r>
          </w:p>
        </w:tc>
        <w:tc>
          <w:tcPr>
            <w:tcW w:type="dxa" w:w="2880"/>
          </w:tcPr>
          <w:p>
            <w:r>
              <w:t>GET</w:t>
            </w:r>
          </w:p>
        </w:tc>
        <w:tc>
          <w:tcPr>
            <w:tcW w:type="dxa" w:w="2880"/>
          </w:tcPr>
          <w:p>
            <w:r>
              <w:t>Serves the browser review console</w:t>
            </w:r>
          </w:p>
        </w:tc>
      </w:tr>
      <w:tr>
        <w:tc>
          <w:tcPr>
            <w:tcW w:type="dxa" w:w="2880"/>
          </w:tcPr>
          <w:p>
            <w:r>
              <w:t>`/health`</w:t>
            </w:r>
          </w:p>
        </w:tc>
        <w:tc>
          <w:tcPr>
            <w:tcW w:type="dxa" w:w="2880"/>
          </w:tcPr>
          <w:p>
            <w:r>
              <w:t>GET</w:t>
            </w:r>
          </w:p>
        </w:tc>
        <w:tc>
          <w:tcPr>
            <w:tcW w:type="dxa" w:w="2880"/>
          </w:tcPr>
          <w:p>
            <w:r>
              <w:t>Reports whether the model loaded and how many feedback rows exist</w:t>
            </w:r>
          </w:p>
        </w:tc>
      </w:tr>
      <w:tr>
        <w:tc>
          <w:tcPr>
            <w:tcW w:type="dxa" w:w="2880"/>
          </w:tcPr>
          <w:p>
            <w:r>
              <w:t>`/predict`</w:t>
            </w:r>
          </w:p>
        </w:tc>
        <w:tc>
          <w:tcPr>
            <w:tcW w:type="dxa" w:w="2880"/>
          </w:tcPr>
          <w:p>
            <w:r>
              <w:t>POST</w:t>
            </w:r>
          </w:p>
        </w:tc>
        <w:tc>
          <w:tcPr>
            <w:tcW w:type="dxa" w:w="2880"/>
          </w:tcPr>
          <w:p>
            <w:r>
              <w:t>Scores one raw email and returns the label, spam probability and metadata signals</w:t>
            </w:r>
          </w:p>
        </w:tc>
      </w:tr>
      <w:tr>
        <w:tc>
          <w:tcPr>
            <w:tcW w:type="dxa" w:w="2880"/>
          </w:tcPr>
          <w:p>
            <w:r>
              <w:t>`/feedback`</w:t>
            </w:r>
          </w:p>
        </w:tc>
        <w:tc>
          <w:tcPr>
            <w:tcW w:type="dxa" w:w="2880"/>
          </w:tcPr>
          <w:p>
            <w:r>
              <w:t>POST</w:t>
            </w:r>
          </w:p>
        </w:tc>
        <w:tc>
          <w:tcPr>
            <w:tcW w:type="dxa" w:w="2880"/>
          </w:tcPr>
          <w:p>
            <w:r>
              <w:t>Records a reviewer's correct label for a submitted email</w:t>
            </w:r>
          </w:p>
        </w:tc>
      </w:tr>
      <w:tr>
        <w:tc>
          <w:tcPr>
            <w:tcW w:type="dxa" w:w="2880"/>
          </w:tcPr>
          <w:p>
            <w:r>
              <w:t>`/queue`</w:t>
            </w:r>
          </w:p>
        </w:tc>
        <w:tc>
          <w:tcPr>
            <w:tcW w:type="dxa" w:w="2880"/>
          </w:tcPr>
          <w:p>
            <w:r>
              <w:t>GET</w:t>
            </w:r>
          </w:p>
        </w:tc>
        <w:tc>
          <w:tcPr>
            <w:tcW w:type="dxa" w:w="2880"/>
          </w:tcPr>
          <w:p>
            <w:r>
              <w:t>Returns the messages scanned by the mailbox watchers that still await review</w:t>
            </w:r>
          </w:p>
        </w:tc>
      </w:tr>
      <w:tr>
        <w:tc>
          <w:tcPr>
            <w:tcW w:type="dxa" w:w="2880"/>
          </w:tcPr>
          <w:p>
            <w:r>
              <w:t>`/queue/{row}/message`</w:t>
            </w:r>
          </w:p>
        </w:tc>
        <w:tc>
          <w:tcPr>
            <w:tcW w:type="dxa" w:w="2880"/>
          </w:tcPr>
          <w:p>
            <w:r>
              <w:t>GET</w:t>
            </w:r>
          </w:p>
        </w:tc>
        <w:tc>
          <w:tcPr>
            <w:tcW w:type="dxa" w:w="2880"/>
          </w:tcPr>
          <w:p>
            <w:r>
              <w:t>Returns the stored copy of one queued message for preview</w:t>
            </w:r>
          </w:p>
        </w:tc>
      </w:tr>
      <w:tr>
        <w:tc>
          <w:tcPr>
            <w:tcW w:type="dxa" w:w="2880"/>
          </w:tcPr>
          <w:p>
            <w:r>
              <w:t>`/queue/feedback`</w:t>
            </w:r>
          </w:p>
        </w:tc>
        <w:tc>
          <w:tcPr>
            <w:tcW w:type="dxa" w:w="2880"/>
          </w:tcPr>
          <w:p>
            <w:r>
              <w:t>POST</w:t>
            </w:r>
          </w:p>
        </w:tc>
        <w:tc>
          <w:tcPr>
            <w:tcW w:type="dxa" w:w="2880"/>
          </w:tcPr>
          <w:p>
            <w:r>
              <w:t>Records or replaces the reviewer's verdict for a queued message</w:t>
            </w:r>
          </w:p>
        </w:tc>
      </w:tr>
      <w:tr>
        <w:tc>
          <w:tcPr>
            <w:tcW w:type="dxa" w:w="2880"/>
          </w:tcPr>
          <w:p>
            <w:r>
              <w:t>`/queue/{row}/undo`</w:t>
            </w:r>
          </w:p>
        </w:tc>
        <w:tc>
          <w:tcPr>
            <w:tcW w:type="dxa" w:w="2880"/>
          </w:tcPr>
          <w:p>
            <w:r>
              <w:t>POST</w:t>
            </w:r>
          </w:p>
        </w:tc>
        <w:tc>
          <w:tcPr>
            <w:tcW w:type="dxa" w:w="2880"/>
          </w:tcPr>
          <w:p>
            <w:r>
              <w:t>Withdraws a verdict recorded in error</w:t>
            </w:r>
          </w:p>
        </w:tc>
      </w:tr>
      <w:tr>
        <w:tc>
          <w:tcPr>
            <w:tcW w:type="dxa" w:w="2880"/>
          </w:tcPr>
          <w:p>
            <w:r>
              <w:t>`/retrain`</w:t>
            </w:r>
          </w:p>
        </w:tc>
        <w:tc>
          <w:tcPr>
            <w:tcW w:type="dxa" w:w="2880"/>
          </w:tcPr>
          <w:p>
            <w:r>
              <w:t>POST</w:t>
            </w:r>
          </w:p>
        </w:tc>
        <w:tc>
          <w:tcPr>
            <w:tcW w:type="dxa" w:w="2880"/>
          </w:tcPr>
          <w:p>
            <w:r>
              <w:t>Trains a candidate model on the corpus plus accumulated corrections and deploys it only if it does not reduce ranking quality</w:t>
            </w:r>
          </w:p>
        </w:tc>
      </w:tr>
    </w:tbl>
    <w:p>
      <w:r>
        <w:t>As shown in Table 5.5, the service separates scoring from learning: the prediction endpoints are read-only with respect to the model, and the deployed model can change only through an explicit call to the retraining endpoint. This is the configuration-level expression of the human checkpoint discussed in Section 7.2.</w:t>
      </w:r>
    </w:p>
    <w:p>
      <w:pPr>
        <w:pStyle w:val="Heading3"/>
      </w:pPr>
      <w:r>
        <w:t>5.3.5 Filtering and Review Configuration</w:t>
      </w:r>
    </w:p>
    <w:p>
      <w:r>
        <w:t xml:space="preserve">1. </w:t>
      </w:r>
      <w:r>
        <w:rPr>
          <w:b/>
        </w:rPr>
        <w:t>Choose the action mode:</w:t>
      </w:r>
      <w:r>
        <w:t xml:space="preserve"> use report while validating the filter and quarantine once it</w:t>
      </w:r>
    </w:p>
    <w:p>
      <w:r>
        <w:t>is trusted to move mail. Flagged messages are copied into the quarantine folder and are never deleted.</w:t>
      </w:r>
    </w:p>
    <w:p>
      <w:r>
        <w:t xml:space="preserve">2. </w:t>
      </w:r>
      <w:r>
        <w:rPr>
          <w:b/>
        </w:rPr>
        <w:t>Set the polling interval:</w:t>
      </w:r>
      <w:r>
        <w:t xml:space="preserve"> pass --poll-seconds to control how often the mailbox is</w:t>
      </w:r>
    </w:p>
    <w:p>
      <w:r>
        <w:t>checked; the default is ten seconds.</w:t>
      </w:r>
    </w:p>
    <w:p>
      <w:r>
        <w:t xml:space="preserve">3. </w:t>
      </w:r>
      <w:r>
        <w:rPr>
          <w:b/>
        </w:rPr>
        <w:t>Choose where copies are stored:</w:t>
      </w:r>
      <w:r>
        <w:t xml:space="preserve"> pass --save-dir so that a copy of each scored message is</w:t>
      </w:r>
    </w:p>
    <w:p>
      <w:r>
        <w:t>written to disk, allowing the reviewer to open the original message from the console.</w:t>
      </w:r>
    </w:p>
    <w:p>
      <w:r>
        <w:t xml:space="preserve">4. </w:t>
      </w:r>
      <w:r>
        <w:rPr>
          <w:b/>
        </w:rPr>
        <w:t>Review and correct verdicts:</w:t>
      </w:r>
      <w:r>
        <w:t xml:space="preserve"> confirm or correct each queued message. Only the most recent</w:t>
      </w:r>
    </w:p>
    <w:p>
      <w:r>
        <w:t>verdict for a message is retained, and corrections accumulate in the feedback store without altering the deployed model.</w:t>
      </w:r>
    </w:p>
    <w:p>
      <w:r>
        <w:t xml:space="preserve">5. </w:t>
      </w:r>
      <w:r>
        <w:rPr>
          <w:b/>
        </w:rPr>
        <w:t>Trigger retraining when required:</w:t>
      </w:r>
      <w:r>
        <w:t xml:space="preserve"> use the retraining control in the console, which calls</w:t>
      </w:r>
    </w:p>
    <w:p>
      <w:r>
        <w:t>the /retrain endpoint listed in Table 5.5. The candidate model replaces the deployed model only if it does not reduce ranking quality on the held-out split.</w:t>
      </w:r>
    </w:p>
    <w:p>
      <w:r>
        <w:t>The resulting operational settings are summarised in Table 5.4. The server host and port are inferred automatically from the address domain for common providers, so in normal use only the account credentials must be supplied.</w:t>
      </w:r>
    </w:p>
    <w:p>
      <w:r/>
      <w:r>
        <w:rPr>
          <w:b/>
        </w:rPr>
        <w:t>Table 5.4 — Mailbox connection and filtering configuration.</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Setting</w:t>
            </w:r>
          </w:p>
        </w:tc>
        <w:tc>
          <w:tcPr>
            <w:tcW w:type="dxa" w:w="2880"/>
          </w:tcPr>
          <w:p>
            <w:r>
              <w:rPr>
                <w:b/>
              </w:rPr>
              <w:t>Value</w:t>
            </w:r>
          </w:p>
        </w:tc>
        <w:tc>
          <w:tcPr>
            <w:tcW w:type="dxa" w:w="2880"/>
          </w:tcPr>
          <w:p>
            <w:r>
              <w:rPr>
                <w:b/>
              </w:rPr>
              <w:t>Purpose</w:t>
            </w:r>
          </w:p>
        </w:tc>
      </w:tr>
      <w:tr>
        <w:tc>
          <w:tcPr>
            <w:tcW w:type="dxa" w:w="2880"/>
          </w:tcPr>
          <w:p>
            <w:r>
              <w:t>Protocol</w:t>
            </w:r>
          </w:p>
        </w:tc>
        <w:tc>
          <w:tcPr>
            <w:tcW w:type="dxa" w:w="2880"/>
          </w:tcPr>
          <w:p>
            <w:r>
              <w:t>IMAP over SSL/TLS (port 993)</w:t>
            </w:r>
          </w:p>
        </w:tc>
        <w:tc>
          <w:tcPr>
            <w:tcW w:type="dxa" w:w="2880"/>
          </w:tcPr>
          <w:p>
            <w:r>
              <w:t>Encrypted retrieval of new mail</w:t>
            </w:r>
          </w:p>
        </w:tc>
      </w:tr>
      <w:tr>
        <w:tc>
          <w:tcPr>
            <w:tcW w:type="dxa" w:w="2880"/>
          </w:tcPr>
          <w:p>
            <w:r>
              <w:t>Server host</w:t>
            </w:r>
          </w:p>
        </w:tc>
        <w:tc>
          <w:tcPr>
            <w:tcW w:type="dxa" w:w="2880"/>
          </w:tcPr>
          <w:p>
            <w:r>
              <w:t>Inferred from the address domain</w:t>
            </w:r>
          </w:p>
        </w:tc>
        <w:tc>
          <w:tcPr>
            <w:tcW w:type="dxa" w:w="2880"/>
          </w:tcPr>
          <w:p>
            <w:r>
              <w:t>Avoids manual server entry for common providers</w:t>
            </w:r>
          </w:p>
        </w:tc>
      </w:tr>
      <w:tr>
        <w:tc>
          <w:tcPr>
            <w:tcW w:type="dxa" w:w="2880"/>
          </w:tcPr>
          <w:p>
            <w:r>
              <w:t>Authentication</w:t>
            </w:r>
          </w:p>
        </w:tc>
        <w:tc>
          <w:tcPr>
            <w:tcW w:type="dxa" w:w="2880"/>
          </w:tcPr>
          <w:p>
            <w:r>
              <w:t>Sixteen-character application password, supplied as an environment variable</w:t>
            </w:r>
          </w:p>
        </w:tc>
        <w:tc>
          <w:tcPr>
            <w:tcW w:type="dxa" w:w="2880"/>
          </w:tcPr>
          <w:p>
            <w:r>
              <w:t>Avoids storing a password in code or configuration files</w:t>
            </w:r>
          </w:p>
        </w:tc>
      </w:tr>
      <w:tr>
        <w:tc>
          <w:tcPr>
            <w:tcW w:type="dxa" w:w="2880"/>
          </w:tcPr>
          <w:p>
            <w:r>
              <w:t>Source folder</w:t>
            </w:r>
          </w:p>
        </w:tc>
        <w:tc>
          <w:tcPr>
            <w:tcW w:type="dxa" w:w="2880"/>
          </w:tcPr>
          <w:p>
            <w:r>
              <w:t>`--source-folder` (default INBOX)</w:t>
            </w:r>
          </w:p>
        </w:tc>
        <w:tc>
          <w:tcPr>
            <w:tcW w:type="dxa" w:w="2880"/>
          </w:tcPr>
          <w:p>
            <w:r>
              <w:t>Selects which mailbox folder is monitored</w:t>
            </w:r>
          </w:p>
        </w:tc>
      </w:tr>
      <w:tr>
        <w:tc>
          <w:tcPr>
            <w:tcW w:type="dxa" w:w="2880"/>
          </w:tcPr>
          <w:p>
            <w:r>
              <w:t>Action mode</w:t>
            </w:r>
          </w:p>
        </w:tc>
        <w:tc>
          <w:tcPr>
            <w:tcW w:type="dxa" w:w="2880"/>
          </w:tcPr>
          <w:p>
            <w:r>
              <w:t>`report` (read-only) or `quarantine`</w:t>
            </w:r>
          </w:p>
        </w:tc>
        <w:tc>
          <w:tcPr>
            <w:tcW w:type="dxa" w:w="2880"/>
          </w:tcPr>
          <w:p>
            <w:r>
              <w:t>Read-only scoring for testing; quarantine for live filtering</w:t>
            </w:r>
          </w:p>
        </w:tc>
      </w:tr>
      <w:tr>
        <w:tc>
          <w:tcPr>
            <w:tcW w:type="dxa" w:w="2880"/>
          </w:tcPr>
          <w:p>
            <w:r>
              <w:t>Quarantine folder</w:t>
            </w:r>
          </w:p>
        </w:tc>
        <w:tc>
          <w:tcPr>
            <w:tcW w:type="dxa" w:w="2880"/>
          </w:tcPr>
          <w:p>
            <w:r>
              <w:t>`Spam_Quarantine`</w:t>
            </w:r>
          </w:p>
        </w:tc>
        <w:tc>
          <w:tcPr>
            <w:tcW w:type="dxa" w:w="2880"/>
          </w:tcPr>
          <w:p>
            <w:r>
              <w:t>Flagged mail is copied there, never deleted</w:t>
            </w:r>
          </w:p>
        </w:tc>
      </w:tr>
      <w:tr>
        <w:tc>
          <w:tcPr>
            <w:tcW w:type="dxa" w:w="2880"/>
          </w:tcPr>
          <w:p>
            <w:r>
              <w:t>Poll interval</w:t>
            </w:r>
          </w:p>
        </w:tc>
        <w:tc>
          <w:tcPr>
            <w:tcW w:type="dxa" w:w="2880"/>
          </w:tcPr>
          <w:p>
            <w:r>
              <w:t>`--poll-seconds` (default 10 seconds)</w:t>
            </w:r>
          </w:p>
        </w:tc>
        <w:tc>
          <w:tcPr>
            <w:tcW w:type="dxa" w:w="2880"/>
          </w:tcPr>
          <w:p>
            <w:r>
              <w:t>Frequency at which the folder is checked for new mail</w:t>
            </w:r>
          </w:p>
        </w:tc>
      </w:tr>
      <w:tr>
        <w:tc>
          <w:tcPr>
            <w:tcW w:type="dxa" w:w="2880"/>
          </w:tcPr>
          <w:p>
            <w:r>
              <w:t>Saved-message directory</w:t>
            </w:r>
          </w:p>
        </w:tc>
        <w:tc>
          <w:tcPr>
            <w:tcW w:type="dxa" w:w="2880"/>
          </w:tcPr>
          <w:p>
            <w:r>
              <w:t>`--save-dir`</w:t>
            </w:r>
          </w:p>
        </w:tc>
        <w:tc>
          <w:tcPr>
            <w:tcW w:type="dxa" w:w="2880"/>
          </w:tcPr>
          <w:p>
            <w:r>
              <w:t>Stores a copy of each scored message so it can be previewed during review</w:t>
            </w:r>
          </w:p>
        </w:tc>
      </w:tr>
      <w:tr>
        <w:tc>
          <w:tcPr>
            <w:tcW w:type="dxa" w:w="2880"/>
          </w:tcPr>
          <w:p>
            <w:r>
              <w:t>Processed-message state file</w:t>
            </w:r>
          </w:p>
        </w:tc>
        <w:tc>
          <w:tcPr>
            <w:tcW w:type="dxa" w:w="2880"/>
          </w:tcPr>
          <w:p>
            <w:r>
              <w:t>`imap_seen_&lt;folder&gt;.txt`</w:t>
            </w:r>
          </w:p>
        </w:tc>
        <w:tc>
          <w:tcPr>
            <w:tcW w:type="dxa" w:w="2880"/>
          </w:tcPr>
          <w:p>
            <w:r>
              <w:t>Prevents a message from being scored twice</w:t>
            </w:r>
          </w:p>
        </w:tc>
      </w:tr>
      <w:tr>
        <w:tc>
          <w:tcPr>
            <w:tcW w:type="dxa" w:w="2880"/>
          </w:tcPr>
          <w:p>
            <w:r>
              <w:t>Review queue</w:t>
            </w:r>
          </w:p>
        </w:tc>
        <w:tc>
          <w:tcPr>
            <w:tcW w:type="dxa" w:w="2880"/>
          </w:tcPr>
          <w:p>
            <w:r>
              <w:t>`review_queue.csv`</w:t>
            </w:r>
          </w:p>
        </w:tc>
        <w:tc>
          <w:tcPr>
            <w:tcW w:type="dxa" w:w="2880"/>
          </w:tcPr>
          <w:p>
            <w:r>
              <w:t>Records every decision so a reviewer can correct mistakes</w:t>
            </w:r>
          </w:p>
        </w:tc>
      </w:tr>
      <w:tr>
        <w:tc>
          <w:tcPr>
            <w:tcW w:type="dxa" w:w="2880"/>
          </w:tcPr>
          <w:p>
            <w:r>
              <w:t>Decision threshold</w:t>
            </w:r>
          </w:p>
        </w:tc>
        <w:tc>
          <w:tcPr>
            <w:tcW w:type="dxa" w:w="2880"/>
          </w:tcPr>
          <w:p>
            <w:r>
              <w:t>0.55</w:t>
            </w:r>
          </w:p>
        </w:tc>
        <w:tc>
          <w:tcPr>
            <w:tcW w:type="dxa" w:w="2880"/>
          </w:tcPr>
          <w:p>
            <w:r>
              <w:t>Probability above which a message is treated as spam</w:t>
            </w:r>
          </w:p>
        </w:tc>
      </w:tr>
    </w:tbl>
    <w:p>
      <w:r>
        <w:t>As shown in Table 5.4, the configuration was deliberately conservative: flagged mail is copied into a quarantine folder rather than deleted, the read-only mode allows the filter to be validated before it is allowed to move anything, and every decision is logged so that reviewer corrections can be fed back into the next retraining cycle described in Section 3.4.</w:t>
      </w:r>
    </w:p>
    <w:p>
      <w:pPr>
        <w:pStyle w:val="Heading3"/>
      </w:pPr>
      <w:r>
        <w:t>6b. Sections 5.4.1 to 5.4.5</w:t>
      </w:r>
    </w:p>
    <w:p>
      <w:pPr>
        <w:pStyle w:val="Heading3"/>
      </w:pPr>
      <w:r>
        <w:t>5.4.1 Checking an Email in the Review Console</w:t>
      </w:r>
    </w:p>
    <w:p>
      <w:r>
        <w:t>The review console was the manual entry point to the detector. A reviewer pasted the complete source of an email into the console and submitted it for scoring. The console returned the predicted label, the spam probability, a confidence value and the list of structural signals that fired for that message, so that the verdict could be interpreted rather than merely accepted. Figure 5.2 shows the console after a phishing message was submitted.</w:t>
      </w:r>
    </w:p>
    <w:p>
      <w:r>
        <w:t>[FIGURE 5.2: Browser check-and-review console showing a phishing verdict and fired signals.]</w:t>
      </w:r>
    </w:p>
    <w:p>
      <w:r>
        <w:t>Figure 5.2 shows the console classifying a credential-harvesting message as spam. The probability bar reports the score assigned by the model, and the signal chips beneath it name the structural evidence that contributed to the decision, including the mismatch between the sender domain and the domain of the embedded link and the presence of a reply-to address different from the sender.</w:t>
      </w:r>
    </w:p>
    <w:p>
      <w:pPr>
        <w:pStyle w:val="Heading3"/>
      </w:pPr>
      <w:r>
        <w:t>5.4.2 Service Prediction Response</w:t>
      </w:r>
    </w:p>
    <w:p>
      <w:r>
        <w:t>The same detector was exposed as a local service so that other software could obtain a verdict programmatically rather than through the browser. A client submitted the raw email to the prediction endpoint and received a structured response. Figure 5.3 shows a response returned by the service.</w:t>
      </w:r>
    </w:p>
    <w:p>
      <w:r>
        <w:t>[FIGURE 5.3: Example service prediction response (label, probability and signals).]</w:t>
      </w:r>
    </w:p>
    <w:p>
      <w:r>
        <w:t>Figure 5.3 shows the response for a single message, containing the predicted label, the spam probability, the confidence value and the named structural signals. Returning the signals alongside the verdict allowed a calling system to log why a message was flagged, which was a requirement for the review and appeal process described in Section 4.4.</w:t>
      </w:r>
    </w:p>
    <w:p>
      <w:pPr>
        <w:pStyle w:val="Heading3"/>
      </w:pPr>
      <w:r>
        <w:t>5.4.3 Mailbox Watch and Quarantine</w:t>
      </w:r>
    </w:p>
    <w:p>
      <w:r>
        <w:t>The mailbox watcher applied the detector to a folder of stored messages rather than to a single pasted email. Each message file was parsed, scored and recorded in the review queue; in quarantine mode a flagged message was moved into a separate quarantine folder while legitimate mail was left untouched. Figure 5.4 shows a watch run in progress.</w:t>
      </w:r>
    </w:p>
    <w:p>
      <w:r>
        <w:t>[FIGURE 5.4: Mailbox watch run quarantining a flagged message.]</w:t>
      </w:r>
    </w:p>
    <w:p>
      <w:r>
        <w:t>Figure 5.4 shows the watcher processing a folder containing both legitimate and phishing messages. Each line reports the verdict and the probability for one message, and the flagged messages are reported as moved to the quarantine folder. Nothing was deleted at any point: the quarantine folder retained every flagged message so that a false positive could be recovered.</w:t>
      </w:r>
    </w:p>
    <w:p>
      <w:pPr>
        <w:pStyle w:val="Heading3"/>
      </w:pPr>
      <w:r>
        <w:t>5.4.4 Live Mailbox Filtering over IMAP</w:t>
      </w:r>
    </w:p>
    <w:p>
      <w:r>
        <w:t>To confirm that the connector operated outside a controlled local folder, it was run against a live mailbox hosted by a commercial provider. A disposable account was created for the purpose, application-specific credentials were issued for it, and four test messages were sent to it: one ordinary message and three phishing messages of the credential-harvesting, fraudulent invoice and account-suspension types. The connector authenticated over an encrypted IMAP connection on port 993, retrieved each message in its complete RFC 5322 form and scored it with the same saved model used throughout Chapter 6, with no change to the classifier, its features or its decision threshold.</w:t>
      </w:r>
    </w:p>
    <w:p>
      <w:r>
        <w:t>An unanticipated but instructive observation arose during this run. The provider applied its own filter before delivery and placed all four test messages, including the legitimate one, in its spam folder, so that none of them reached the inbox. The connector was therefore directed at that folder instead, which had the useful effect of turning the exercise into an independent second opinion on messages the provider had already judged. Figure 5.5 records the result.</w:t>
      </w:r>
    </w:p>
    <w:p>
      <w:r>
        <w:t>[FIGURE 5.5: Live IMAP run scoring four messages retrieved from a commercial mailbox, showing three phishing messages flagged and one legitimate message released.]</w:t>
      </w:r>
    </w:p>
    <w:p>
      <w:r>
        <w:t>Figure 5.5 shows that the three phishing messages were assigned spam probabilities of 97.6%,</w:t>
      </w:r>
    </w:p>
    <w:p>
      <w:r>
        <w:t>98.7% and 99.8% and were flagged, whereas the legitimate message received 27.4% and was correctly</w:t>
      </w:r>
    </w:p>
    <w:p>
      <w:r>
        <w:t>released. The proposed detector therefore agreed with the provider on the three phishing messages and disagreed on the one legitimate message, which the provider had filtered and the detector had not. This single observation is a demonstration of deployment, not a measurement of comparative accuracy, and no general claim about the relative performance of the two systems is drawn from it; the quantitative results in Chapter 6 rest entirely on the held-out corpus and the external test sets. It does, however, confirm that the detector operates correctly on live network mail.</w:t>
      </w:r>
    </w:p>
    <w:p>
      <w:pPr>
        <w:pStyle w:val="Heading3"/>
      </w:pPr>
      <w:r>
        <w:t>5.4.5 Reviewer Feedback and Retraining</w:t>
      </w:r>
    </w:p>
    <w:p>
      <w:r>
        <w:t>Every message scored by either watcher was written to the review queue, and the console presented those messages to a reviewer for confirmation or correction. For each message the reviewer either confirmed the verdict or recorded the correct label; a verdict entered by mistake could be changed simply by selecting a different one, and only the most recent verdict for a message was retained. Corrections accumulated in the feedback store and did not alter the deployed model until retraining was explicitly requested. Figure 5.6 shows the review inbox.</w:t>
      </w:r>
    </w:p>
    <w:p>
      <w:r>
        <w:t>[FIGURE 5.6: Review inbox showing scored messages with confirm and correct controls, and the retraining control.]</w:t>
      </w:r>
    </w:p>
    <w:p>
      <w:r>
        <w:t>Figure 5.6 shows the queued messages with their verdicts and probabilities, the controls used to confirm or correct each one, and the control that starts a retraining cycle. When retraining was requested, a candidate model was trained on the historical corpus together with the accumulated corrections and was compared with the deployed model on the held-out split; the candidate replaced the deployed model only if it did not reduce ranking quality. This validation gate is discussed further in Section 7.2.</w:t>
      </w:r>
    </w:p>
    <w:p>
      <w:r>
        <w:br w:type="page"/>
      </w:r>
    </w:p>
    <w:p>
      <w:pPr>
        <w:pStyle w:val="Heading2"/>
      </w:pPr>
      <w:r>
        <w:t>After pasting</w:t>
      </w:r>
    </w:p>
    <w:p>
      <w:r>
        <w:t>1. Re-run the figure generator so Figures 6.2, 6.3 and 6.4 match the corrected numbers:</w:t>
      </w:r>
    </w:p>
    <w:p>
      <w:r>
        <w:t>python reports\make_result_figures.py — then check reports/figures/fig6_4.png no longer reads "20% to 85%".</w:t>
      </w:r>
    </w:p>
    <w:p>
      <w:r>
        <w:t>2. Capture Figure 5.6 (review inbox with confirm / correct / retrain controls).</w:t>
      </w:r>
    </w:p>
    <w:p>
      <w:r>
        <w:t>3. Update the List of Figures: there are now 23 figures, with Figure 5.6 added.</w:t>
      </w:r>
    </w:p>
    <w:p>
      <w:r>
        <w:t>4. Update the Table of Contents (right-click, Update Field, Update entire table).</w:t>
      </w:r>
    </w:p>
    <w:p>
      <w:r>
        <w:t>5. Remove all yellow highlighting from the Copyright Statement and the Abstract.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