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obfuscation. Learned content models</w:t>
      </w:r>
    </w:p>
    <w:p>
      <w:r>
        <w:t>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accounts.</w:t>
      </w:r>
    </w:p>
    <w:p>
      <w:r>
        <w:t>Models that were never updated could not follow evolving campaigns, so their accuracy degraded</w:t>
      </w:r>
    </w:p>
    <w:p>
      <w:r>
        <w:t>as concept drift accumulated.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The system was developed and evaluated on a consumer laptop with an Intel-class central</w:t>
      </w:r>
    </w:p>
    <w:p>
      <w:r>
        <w:t>processing unit, integrated Intel UHD graphics and no discrete graphics processing unit. No</w:t>
      </w:r>
    </w:p>
    <w:p>
      <w:r>
        <w:t>specialised hardware was required; the detector ran entirely on the central processing unit.</w:t>
      </w:r>
    </w:p>
    <w:p>
      <w:r>
        <w:t>Table 5.1 summarises the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Intel-class CPU, no discrete GPU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