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[21], released under a permissive licence and accompanied by the study that curated it [22], which merged six established corpora: Enron and Ling-Spam and SpamAssassin (predominantly legitimate mail) and CEAS-2008, the Nazario phishing set and the Nigerian-Fraud set (phishing and fraud). The published collection contains approximately 82,500 messages (42,891 spam and 39,595 legitimate) [21].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t xml:space="preserve">[21] N. A. Alam, "Phishing email dataset," </w:t>
      </w:r>
      <w:r>
        <w:rPr>
          <w:i/>
        </w:rPr>
        <w:t>Kaggle</w:t>
      </w:r>
      <w:r>
        <w:t>, 2024. [Online]. Available: https://www.kaggle.com/datasets/naserabdullahalam/phishing-email-dataset (accessed Sep. 3, 2026).</w:t>
      </w:r>
    </w:p>
    <w:p>
      <w:r>
        <w:t xml:space="preserve">[22] A. Al-Subaiey, M. Al-Thani, N. A. Alam, K. F. Antora, A. Khandakar, and S. A. U. Zaman, "Novel interpretable and robust web-based AI platform for phishing email detection," </w:t>
      </w:r>
      <w:r>
        <w:rPr>
          <w:i/>
        </w:rPr>
        <w:t>Computers and Electrical Engineering</w:t>
      </w:r>
      <w:r>
        <w:t>, vol. 120, art. 109625, Dec. 2024, doi: 10.1016/j.compeleceng.2024.109625.</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