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`/predict` JSON response.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Development hardware and software.</w:t>
      </w:r>
    </w:p>
    <w:p>
      <w:r>
        <w:t>- Table 5.2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large share of global email traffic — Kaspersky measured spam at roughly 47 per cent of all</w:t>
      </w:r>
    </w:p>
    <w:p>
      <w:r>
        <w:t>email sent worldwide in 2024 [18] — and ranged from nuisance advertisements to sophisticated</w:t>
      </w:r>
    </w:p>
    <w:p>
      <w:r>
        <w:t>phishing campaigns designed to steal credentials or financial data or to distribute malware</w:t>
      </w:r>
    </w:p>
    <w:p>
      <w:r>
        <w:t>[2].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obfuscation. Learned content models</w:t>
      </w:r>
    </w:p>
    <w:p>
      <w:r>
        <w:t>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accounts.</w:t>
      </w:r>
    </w:p>
    <w:p>
      <w:r>
        <w:t>Models that were never updated could not follow evolving campaigns, so their accuracy degraded</w:t>
      </w:r>
    </w:p>
    <w:p>
      <w:r>
        <w:t>as concept drift accumulated.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therefore designed, implemented and evaluated a</w:t>
      </w:r>
    </w:p>
    <w:p>
      <w:r>
        <w:t>complete, deployable adaptive content–metadata fusion spam-detection system: the pipeline was</w:t>
      </w:r>
    </w:p>
    <w:p>
      <w:r>
        <w:t>built at scale on a varied public corpus, hardened against malformed real-world input, wrapped</w:t>
      </w:r>
    </w:p>
    <w:p>
      <w:r>
        <w:t>in a service and quarantine layer, equipped with a reviewed retraining loop, and tested for</w:t>
      </w:r>
    </w:p>
    <w:p>
      <w:r>
        <w:t>generalisation against genuinely AI-generated phishing. The remainder of this report describes</w:t>
      </w:r>
    </w:p>
    <w:p>
      <w:r>
        <w:t>that system and measures the extent to which each stated objective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project objectives,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cross-platform Python and were developed and tested on</w:t>
      </w:r>
    </w:p>
    <w:p>
      <w:r>
        <w:t>Windows 11; the same code was also executed successfully in a Linux-based environment.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followed the lightweight, script-based design of the system,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spectrum, with Naïve</w:t>
      </w:r>
    </w:p>
    <w:p>
      <w:r>
        <w:t>Bayes a generative baseline and the support vector machine a maximum-margin discriminative one.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Structural and sender-based signals were valuable but</w:t>
      </w:r>
    </w:p>
    <w:p>
      <w:r>
        <w:t>generally weaker than well-trained content models on their own, confirming that metadata was</w:t>
      </w:r>
    </w:p>
    <w:p>
      <w:r>
        <w:t>complementary rather than sufficient and was most effective when combined with content</w:t>
      </w:r>
    </w:p>
    <w:p>
      <w:r>
        <w:t>[4], [5].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Studies of combined feature sets similarly reported that content-plus-metadata fusion</w:t>
      </w:r>
    </w:p>
    <w:p>
      <w:r>
        <w:t>delivered a more balanced precision–recall trade-off and better coverage than either source</w:t>
      </w:r>
    </w:p>
    <w:p>
      <w:r>
        <w:t>alone, although a strong text-only support-vector-machine baseline could be hard to improve on</w:t>
      </w:r>
    </w:p>
    <w:p>
      <w:r>
        <w:t>with simple concatenation [9]. This motivated the richer word-plus-character content</w:t>
      </w:r>
    </w:p>
    <w:p>
      <w:r>
        <w:t>representation and the standardised metadata used in the present system. The fusion concept</w:t>
      </w:r>
    </w:p>
    <w:p>
      <w:r>
        <w:t>adopted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cross-platform Python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console, posted to `/predict`,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`feedback.csv`.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vectorised with TF-IDF over</w:t>
      </w:r>
    </w:p>
    <w:p>
      <w:r>
        <w:t>word unigrams/bigrams (up to 40,000 terms) and over character n-grams of length three to five</w:t>
      </w:r>
    </w:p>
    <w:p>
      <w:r>
        <w:t>(up to 30,000 features), using sub-linear term-frequency scaling. The word stream captured</w:t>
      </w:r>
    </w:p>
    <w:p>
      <w:r>
        <w:t>phrasing while the character stream 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Precision and recall were defined as TP/(TP+FP) and TP/(TP+FN), and the F1 score as their</w:t>
      </w:r>
    </w:p>
    <w:p>
      <w:r>
        <w:t>harmonic mean. A threshold sweep reported phishing recall at a low (≤5%) false-positive</w:t>
      </w:r>
    </w:p>
    <w:p>
      <w:r>
        <w:t>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FastAPI endpoint (`/predict`),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`spam_detection`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Component modules and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Module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 email parsing; content and metadata extraction; crash-safe URL handling; fallback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`model.py`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`EmailSpamDetector` class: fusion pipeline (word TF-IDF, char TF-IDF, DictVectorizer metadata, StandardScaler), fit/predict, save/load; a `Prediction` result carrying label, probability, confidence and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`api.py`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service: `/health`, `/predict`, `/feedback`, and an HTML paste-and-check page with review buttons.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`scan_mailbox.py`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Folder scanning with `report`, `quarantine` and `watch` modes; logs every decision to a review queue.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`feedback.py`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Converts reviewer corrections in the queue into a labelled `feedback.csv`.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`prepare_dataset.py`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Ingests and merges public corpus CSVs, de-duplicates, handles encodings, long fields and multiple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Held-out training/evaluation: metrics, confusion matrix, threshold sweep, recall-at-low-FPR, latency; serialises the model.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`evaluate_external.py`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Scores external/AI-style sets that may contain a single class; threshold sweep.</w:t>
            </w:r>
          </w:p>
        </w:tc>
      </w:tr>
    </w:tbl>
    <w:p/>
    <w:p>
      <w:r>
        <w:t>The deployed classifier (`model.py`)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flowed through `feedback.py` into `feedback.csv`;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artefact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The system was developed and evaluated on a consumer laptop with an Intel-class central</w:t>
      </w:r>
    </w:p>
    <w:p>
      <w:r>
        <w:t>processing unit, integrated Intel UHD graphics and no discrete graphics processing unit. No</w:t>
      </w:r>
    </w:p>
    <w:p>
      <w:r>
        <w:t>specialised hardware was required; the detector ran entirely on the central processing unit.</w:t>
      </w:r>
    </w:p>
    <w:p>
      <w:r>
        <w:t>Table 5.1 summarises the environment.</w:t>
      </w:r>
    </w:p>
    <w:p>
      <w:pPr>
        <w:spacing w:before="80" w:after="160"/>
        <w:jc w:val="center"/>
      </w:pPr>
      <w:r>
        <w:rPr>
          <w:b/>
          <w:sz w:val="22"/>
        </w:rPr>
        <w:t>Table 5.1 — Development hardware and software.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Item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 (also validated on Linux)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Intel-class CPU, no discrete GPU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Python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3.11+ virtual environment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Core libraries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scikit-learn 1.4+, Joblib, FastAPI, Uvicorn, Pydantic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Local CSV files; Joblib-serialised model</w:t>
            </w:r>
          </w:p>
        </w:tc>
      </w:tr>
    </w:tbl>
    <w:p/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A dedicated Python virtual environment was created and the core dependencies were installed</w:t>
      </w:r>
    </w:p>
    <w:p>
      <w:r>
        <w:t>from `requirements.txt` (scikit-learn, Joblib, FastAPI, Uvicorn and Pydantic). The public</w:t>
      </w:r>
    </w:p>
    <w:p>
      <w:r>
        <w:t>corpus was prepared with the dataset-preparation script, which merged the source CSV files,</w:t>
      </w:r>
    </w:p>
    <w:p>
      <w:r>
        <w:t>raised the CSV field-size limit for long bodies, handled multiple encodings and label formats,</w:t>
      </w:r>
    </w:p>
    <w:p>
      <w:r>
        <w:t>and de-duplicated the records. De-duplication was performed on normalised message content so</w:t>
      </w:r>
    </w:p>
    <w:p>
      <w:r>
        <w:t>that identical emails repeated across the merged corpora were counted once; this prevented the</w:t>
      </w:r>
    </w:p>
    <w:p>
      <w:r>
        <w:t>same message from appearing in both training and held-out split, which would have inflated the</w:t>
      </w:r>
    </w:p>
    <w:p>
      <w:r>
        <w:t>reported metrics. Training on the full corpus completed within minutes on the central</w:t>
      </w:r>
    </w:p>
    <w:p>
      <w:r>
        <w:t>processing unit, and the resulting artefact was small enough to be loaded instantly by the</w:t>
      </w:r>
    </w:p>
    <w:p>
      <w:r>
        <w:t>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5.2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5.2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model lifecycle proceeded in four stages. First, the public corpus was merged and</w:t>
      </w:r>
    </w:p>
    <w:p>
      <w:r>
        <w:t>de-duplicated into a single reviewed CSV. Second, the training script fitted the fusion</w:t>
      </w:r>
    </w:p>
    <w:p>
      <w:r>
        <w:t>pipeline on the training split, evaluated it on the held-out split, reported the confusion</w:t>
      </w:r>
    </w:p>
    <w:p>
      <w:r>
        <w:t>matrix and threshold sweep, and saved the artefact with Joblib. Third, external and</w:t>
      </w:r>
    </w:p>
    <w:p>
      <w:r>
        <w:t>AI-generated sets were scored with the single-class-aware external evaluator. Fourth, the</w:t>
      </w:r>
    </w:p>
    <w:p>
      <w:r>
        <w:t>service or mailbox watcher loaded the saved artefact and served predictions while reviewer</w:t>
      </w:r>
    </w:p>
    <w:p>
      <w:r>
        <w:t>corrections accumulated for the next retraining cycle.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train on the public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score an external / AI-generated set (body-only CSV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run the review service, then open http://127.0.0.1:8000/ in a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watch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"Spam / Ham / Correct" feedback buttons.]</w:t>
      </w:r>
    </w:p>
    <w:p>
      <w:pPr>
        <w:jc w:val="center"/>
      </w:pPr>
      <w:r>
        <w:rPr>
          <w:i/>
        </w:rPr>
        <w:t>FIGURE 5.3: Screenshot of an example `/predict` JSON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file being</w:t>
      </w:r>
    </w:p>
    <w:p>
      <w:r>
        <w:t>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`evaluate_external.py`.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 xml:space="preserve">&gt; </w:t>
      </w:r>
      <w:r>
        <w:rPr>
          <w:b/>
        </w:rPr>
        <w:t>Ready-made figures:</w:t>
      </w:r>
      <w:r>
        <w:t xml:space="preserve"> run `python reports/make_result_figures.py data/reviewed_mail.csv --llm data/llm_test.csv`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were compared on content-only and fused features using the supplied</w:t>
      </w:r>
    </w:p>
    <w:p>
      <w:r>
        <w:t>comparison script: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           # full corpus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--limit 20000   # faster run</w:t>
      </w:r>
    </w:p>
    <w:p>
      <w:r>
        <w:t>The command prints accuracy, precision, recall, F1 and ROC-AUC for each configuration and</w:t>
      </w:r>
    </w:p>
    <w:p>
      <w:r>
        <w:t>also writes `reports/model_comparison.csv`, a ready-to-paste `reports/table6_2.md` and the bar</w:t>
      </w:r>
    </w:p>
    <w:p>
      <w:r>
        <w:t>chart `reports/figures/fig6_model_comparison.png`. Running it on the full 81,152-email corpus</w:t>
      </w:r>
    </w:p>
    <w:p>
      <w:r>
        <w:t>produced the figures shown in Table 6.2. The support-vector-machine iteration limit was raised</w:t>
      </w:r>
    </w:p>
    <w:p>
      <w:r>
        <w:t>to 10,000 because the default 1,000 raised a convergence warning on the large fused feature set;</w:t>
      </w:r>
    </w:p>
    <w:p>
      <w:r>
        <w:t>with this setting the metrics 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5.2),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self-contained demonstration (`demo_adaptive.py`) showed a new campaign</w:t>
      </w:r>
    </w:p>
    <w:p>
      <w:r>
        <w:t>going from 0/6 to 5/6 caught after 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(`demo_adaptive.py`)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`compare_models.py`;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stated objectives.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t xml:space="preserve">[18] Kaspersky, "Spam and phishing in 2024," </w:t>
      </w:r>
      <w:r>
        <w:rPr>
          <w:i/>
        </w:rPr>
        <w:t>Securelist</w:t>
      </w:r>
      <w:r>
        <w:t>, Kaspersky Lab, Feb. 2025.</w:t>
      </w:r>
    </w:p>
    <w:p>
      <w:r>
        <w:t>[Online]. Available: https://securelist.com/spam-and-phishing-report-2024/115536/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`compare_models.py` output table and per-configuration confusion</w:t>
      </w:r>
    </w:p>
    <w:p>
      <w:r>
        <w:t>matrices.]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[FILL IN: full command reference and any additional screenshots not placed in Chapter 5.]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