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Pr>
        <w:spacing w:line="360" w:lineRule="auto" w:after="120" w:before="0"/>
        <w:jc w:val="both"/>
      </w:pPr>
      <w:r>
        <w:t>The versions in Table 5.2 are the minimum versions recorded in the requirements file, and the exact installed versions can be listed with the pip list command. The python-docx library was used only to generate this report document and was not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120" w:line="240" w:lineRule="auto"/>
      </w:pPr>
      <w:r>
        <w:rPr>
          <w:rFonts w:ascii="Consolas" w:hAnsi="Consolas"/>
          <w:color w:val="222222"/>
          <w:sz w:val="18"/>
        </w:rPr>
        <w:t>python -m spam_detection.scan_mailbox mail_inbox --action quarantine --watch</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