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PASTE-READY FIXES FOR YOUR SUBMISSION DOCUMENT</w:t>
      </w:r>
    </w:p>
    <w:p>
      <w:r>
        <w:t>Everything below is final text. Copy each block into Word at the place named. Nothing here touches figure/table caption numbering — you said you are handling that yourself.</w:t>
      </w:r>
    </w:p>
    <w:p>
      <w:r>
        <w:t>Order of work (fastest first):</w:t>
      </w:r>
    </w:p>
    <w:p>
      <w:r>
        <w:t>1. FIX 1 — heading prefixes (30 seconds)</w:t>
      </w:r>
    </w:p>
    <w:p>
      <w:r>
        <w:t>2. FIX 2 — find/replace the stale numbers (2 minutes)</w:t>
      </w:r>
    </w:p>
    <w:p>
      <w:r>
        <w:t>3. FIX 3 — Table 4.2 (1 minute)</w:t>
      </w:r>
    </w:p>
    <w:p>
      <w:r>
        <w:t>4. FIX 4 — paste the missing Section 2.1 (biggest, about 5 minutes)</w:t>
      </w:r>
    </w:p>
    <w:p>
      <w:r>
        <w:t>5. FIX 5 — paste the missing 6.5 and 7.2 and the corrected 6.2.3 / 6.2.4 / 7.1</w:t>
      </w:r>
    </w:p>
    <w:p>
      <w:r>
        <w:t>6. FIX 6 — optional: replace 5.3 and 5.4 with the current versions</w:t>
      </w:r>
    </w:p>
    <w:p>
      <w:r>
        <w:br w:type="page"/>
      </w:r>
    </w:p>
    <w:p>
      <w:pPr>
        <w:pStyle w:val="Heading2"/>
      </w:pPr>
      <w:r>
        <w:t>FIX 1 — Stray chapter prefixes on three headings</w:t>
      </w:r>
    </w:p>
    <w:p>
      <w:r>
        <w:t>Delete the prefix so the headings read exactly:</w:t>
      </w:r>
    </w:p>
    <w:tbl>
      <w:tblPr>
        <w:tblStyle w:val="TableGrid"/>
        <w:tblW w:type="auto" w:w="0"/>
        <w:tblLook w:firstColumn="1" w:firstRow="1" w:lastColumn="0" w:lastRow="0" w:noHBand="0" w:noVBand="1" w:val="04A0"/>
      </w:tblPr>
      <w:tblGrid>
        <w:gridCol w:w="4320"/>
        <w:gridCol w:w="4320"/>
      </w:tblGrid>
      <w:tr>
        <w:tc>
          <w:tcPr>
            <w:tcW w:type="dxa" w:w="4320"/>
          </w:tcPr>
          <w:p>
            <w:r>
              <w:rPr>
                <w:b/>
              </w:rPr>
              <w:t>Currently in your document</w:t>
            </w:r>
          </w:p>
        </w:tc>
        <w:tc>
          <w:tcPr>
            <w:tcW w:type="dxa" w:w="4320"/>
          </w:tcPr>
          <w:p>
            <w:r>
              <w:rPr>
                <w:b/>
              </w:rPr>
              <w:t>Change to</w:t>
            </w:r>
          </w:p>
        </w:tc>
      </w:tr>
      <w:tr>
        <w:tc>
          <w:tcPr>
            <w:tcW w:type="dxa" w:w="4320"/>
          </w:tcPr>
          <w:p>
            <w:r>
              <w:t>Chapter 6 6.2 Testing Setup and Result</w:t>
            </w:r>
          </w:p>
        </w:tc>
        <w:tc>
          <w:tcPr>
            <w:tcW w:type="dxa" w:w="4320"/>
          </w:tcPr>
          <w:p>
            <w:r>
              <w:t>6.2 Testing Setup and Result</w:t>
            </w:r>
          </w:p>
        </w:tc>
      </w:tr>
      <w:tr>
        <w:tc>
          <w:tcPr>
            <w:tcW w:type="dxa" w:w="4320"/>
          </w:tcPr>
          <w:p>
            <w:r>
              <w:t>Chapter 7 7.1 Conclusion</w:t>
            </w:r>
          </w:p>
        </w:tc>
        <w:tc>
          <w:tcPr>
            <w:tcW w:type="dxa" w:w="4320"/>
          </w:tcPr>
          <w:p>
            <w:r>
              <w:t>7.1 Conclusion</w:t>
            </w:r>
          </w:p>
        </w:tc>
      </w:tr>
      <w:tr>
        <w:tc>
          <w:tcPr>
            <w:tcW w:type="dxa" w:w="4320"/>
          </w:tcPr>
          <w:p>
            <w:r>
              <w:t>Chapter 8 7.2 Recommendation</w:t>
            </w:r>
          </w:p>
        </w:tc>
        <w:tc>
          <w:tcPr>
            <w:tcW w:type="dxa" w:w="4320"/>
          </w:tcPr>
          <w:p>
            <w:r>
              <w:t>7.3 Recommendation</w:t>
            </w:r>
          </w:p>
        </w:tc>
      </w:tr>
    </w:tbl>
    <w:p>
      <w:r>
        <w:t xml:space="preserve">Note the last one becomes </w:t>
      </w:r>
      <w:r>
        <w:rPr>
          <w:b/>
        </w:rPr>
        <w:t>7.3</w:t>
      </w:r>
      <w:r>
        <w:t>, not 7.2, because 7.2 is the Limitations section you are adding in FIX 5e.</w:t>
      </w:r>
    </w:p>
    <w:p>
      <w:r>
        <w:br w:type="page"/>
      </w:r>
    </w:p>
    <w:p>
      <w:pPr>
        <w:pStyle w:val="Heading2"/>
      </w:pPr>
      <w:r>
        <w:t>FIX 2 — Stale numbers (Word: Ctrl+H, Find and Replace)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Find</w:t>
            </w:r>
          </w:p>
        </w:tc>
        <w:tc>
          <w:tcPr>
            <w:tcW w:type="dxa" w:w="2880"/>
          </w:tcPr>
          <w:p>
            <w:r>
              <w:rPr>
                <w:b/>
              </w:rPr>
              <w:t>Replace with</w:t>
            </w:r>
          </w:p>
        </w:tc>
        <w:tc>
          <w:tcPr>
            <w:tcW w:type="dxa" w:w="2880"/>
          </w:tcPr>
          <w:p>
            <w:r>
              <w:rPr>
                <w:b/>
              </w:rPr>
              <w:t>Where it appears</w:t>
            </w:r>
          </w:p>
        </w:tc>
      </w:tr>
      <w:tr>
        <w:tc>
          <w:tcPr>
            <w:tcW w:type="dxa" w:w="2880"/>
          </w:tcPr>
          <w:p>
            <w:r>
              <w:t>16 milliseconds</w:t>
            </w:r>
          </w:p>
        </w:tc>
        <w:tc>
          <w:tcPr>
            <w:tcW w:type="dxa" w:w="2880"/>
          </w:tcPr>
          <w:p>
            <w:r>
              <w:t>13 milliseconds</w:t>
            </w:r>
          </w:p>
        </w:tc>
        <w:tc>
          <w:tcPr>
            <w:tcW w:type="dxa" w:w="2880"/>
          </w:tcPr>
          <w:p>
            <w:r>
              <w:t>Section 5.1, Section 6.2.5, Section 7.1</w:t>
            </w:r>
          </w:p>
        </w:tc>
      </w:tr>
      <w:tr>
        <w:tc>
          <w:tcPr>
            <w:tcW w:type="dxa" w:w="2880"/>
          </w:tcPr>
          <w:p>
            <w:r>
              <w:t>16 ms</w:t>
            </w:r>
          </w:p>
        </w:tc>
        <w:tc>
          <w:tcPr>
            <w:tcW w:type="dxa" w:w="2880"/>
          </w:tcPr>
          <w:p>
            <w:r>
              <w:t>13 ms</w:t>
            </w:r>
          </w:p>
        </w:tc>
        <w:tc>
          <w:tcPr>
            <w:tcW w:type="dxa" w:w="2880"/>
          </w:tcPr>
          <w:p>
            <w:r>
              <w:t>Table 6.1, Table 6.6</w:t>
            </w:r>
          </w:p>
        </w:tc>
      </w:tr>
      <w:tr>
        <w:tc>
          <w:tcPr>
            <w:tcW w:type="dxa" w:w="2880"/>
          </w:tcPr>
          <w:p>
            <w:r>
              <w:t>41 ms</w:t>
            </w:r>
          </w:p>
        </w:tc>
        <w:tc>
          <w:tcPr>
            <w:tcW w:type="dxa" w:w="2880"/>
          </w:tcPr>
          <w:p>
            <w:r>
              <w:t>33 ms</w:t>
            </w:r>
          </w:p>
        </w:tc>
        <w:tc>
          <w:tcPr>
            <w:tcW w:type="dxa" w:w="2880"/>
          </w:tcPr>
          <w:p>
            <w:r>
              <w:t>Table 6.1</w:t>
            </w:r>
          </w:p>
        </w:tc>
      </w:tr>
      <w:tr>
        <w:tc>
          <w:tcPr>
            <w:tcW w:type="dxa" w:w="2880"/>
          </w:tcPr>
          <w:p>
            <w:r>
              <w:t>11 milliseconds</w:t>
            </w:r>
          </w:p>
        </w:tc>
        <w:tc>
          <w:tcPr>
            <w:tcW w:type="dxa" w:w="2880"/>
          </w:tcPr>
          <w:p>
            <w:r>
              <w:t>13 milliseconds</w:t>
            </w:r>
          </w:p>
        </w:tc>
        <w:tc>
          <w:tcPr>
            <w:tcW w:type="dxa" w:w="2880"/>
          </w:tcPr>
          <w:p>
            <w:r>
              <w:t>Section 6.2.3</w:t>
            </w:r>
          </w:p>
        </w:tc>
      </w:tr>
    </w:tbl>
    <w:p>
      <w:r>
        <w:t>Then fix the adaptation claim by hand. Anywhere the document says recall rose from</w:t>
      </w:r>
    </w:p>
    <w:p>
      <w:r/>
      <w:r>
        <w:rPr>
          <w:b/>
        </w:rPr>
        <w:t>20% to 85%</w:t>
      </w:r>
      <w:r>
        <w:t xml:space="preserve">, that is wrong. The measured result is that recall was </w:t>
      </w:r>
      <w:r>
        <w:rPr>
          <w:b/>
        </w:rPr>
        <w:t>maintained at 95%</w:t>
      </w:r>
      <w:r/>
    </w:p>
    <w:p>
      <w:r>
        <w:t>while ROC-AUC rose from 0.810 to 0.945. Corrected wording is in FIX 5b.</w:t>
      </w:r>
    </w:p>
    <w:p>
      <w:r>
        <w:t>Correct values, for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Correct value</w:t>
            </w:r>
          </w:p>
        </w:tc>
      </w:tr>
      <w:tr>
        <w:tc>
          <w:tcPr>
            <w:tcW w:type="dxa" w:w="4320"/>
          </w:tcPr>
          <w:p>
            <w:r>
              <w:t>Corpus after de-duplication</w:t>
            </w:r>
          </w:p>
        </w:tc>
        <w:tc>
          <w:tcPr>
            <w:tcW w:type="dxa" w:w="4320"/>
          </w:tcPr>
          <w:p>
            <w:r>
              <w:t>81,152 emails</w:t>
            </w:r>
          </w:p>
        </w:tc>
      </w:tr>
      <w:tr>
        <w:tc>
          <w:tcPr>
            <w:tcW w:type="dxa" w:w="4320"/>
          </w:tcPr>
          <w:p>
            <w:r>
              <w:t>Held-out test split</w:t>
            </w:r>
          </w:p>
        </w:tc>
        <w:tc>
          <w:tcPr>
            <w:tcW w:type="dxa" w:w="4320"/>
          </w:tcPr>
          <w:p>
            <w:r>
              <w:t>20,288 emails</w:t>
            </w:r>
          </w:p>
        </w:tc>
      </w:tr>
      <w:tr>
        <w:tc>
          <w:tcPr>
            <w:tcW w:type="dxa" w:w="4320"/>
          </w:tcPr>
          <w:p>
            <w:r>
              <w:t>Accuracy / Precision / Recall / F1</w:t>
            </w:r>
          </w:p>
        </w:tc>
        <w:tc>
          <w:tcPr>
            <w:tcW w:type="dxa" w:w="4320"/>
          </w:tcPr>
          <w:p>
            <w:r>
              <w:t>0.992 / 0.991 / 0.992 / 0.992</w:t>
            </w:r>
          </w:p>
        </w:tc>
      </w:tr>
      <w:tr>
        <w:tc>
          <w:tcPr>
            <w:tcW w:type="dxa" w:w="4320"/>
          </w:tcPr>
          <w:p>
            <w:r>
              <w:t>ROC-AUC</w:t>
            </w:r>
          </w:p>
        </w:tc>
        <w:tc>
          <w:tcPr>
            <w:tcW w:type="dxa" w:w="4320"/>
          </w:tcPr>
          <w:p>
            <w:r>
              <w:t>1.000</w:t>
            </w:r>
          </w:p>
        </w:tc>
      </w:tr>
      <w:tr>
        <w:tc>
          <w:tcPr>
            <w:tcW w:type="dxa" w:w="4320"/>
          </w:tcPr>
          <w:p>
            <w:r>
              <w:t>Confusion matrix</w:t>
            </w:r>
          </w:p>
        </w:tc>
        <w:tc>
          <w:tcPr>
            <w:tcW w:type="dxa" w:w="4320"/>
          </w:tcPr>
          <w:p>
            <w:r>
              <w:t>TP 10,399; FN 80; TN 9,719; FP 90</w:t>
            </w:r>
          </w:p>
        </w:tc>
      </w:tr>
      <w:tr>
        <w:tc>
          <w:tcPr>
            <w:tcW w:type="dxa" w:w="4320"/>
          </w:tcPr>
          <w:p>
            <w:r>
              <w:t>False-positive rate</w:t>
            </w:r>
          </w:p>
        </w:tc>
        <w:tc>
          <w:tcPr>
            <w:tcW w:type="dxa" w:w="4320"/>
          </w:tcPr>
          <w:p>
            <w:r>
              <w:t>0.9%</w:t>
            </w:r>
          </w:p>
        </w:tc>
      </w:tr>
      <w:tr>
        <w:tc>
          <w:tcPr>
            <w:tcW w:type="dxa" w:w="4320"/>
          </w:tcPr>
          <w:p>
            <w:r>
              <w:t>Latency</w:t>
            </w:r>
          </w:p>
        </w:tc>
        <w:tc>
          <w:tcPr>
            <w:tcW w:type="dxa" w:w="4320"/>
          </w:tcPr>
          <w:p>
            <w:r>
              <w:t>p50 13 ms; p95 33 ms</w:t>
            </w:r>
          </w:p>
        </w:tc>
      </w:tr>
      <w:tr>
        <w:tc>
          <w:tcPr>
            <w:tcW w:type="dxa" w:w="4320"/>
          </w:tcPr>
          <w:p>
            <w:r>
              <w:t>LLM-phishing catch</w:t>
            </w:r>
          </w:p>
        </w:tc>
        <w:tc>
          <w:tcPr>
            <w:tcW w:type="dxa" w:w="4320"/>
          </w:tcPr>
          <w:p>
            <w:r>
              <w:t>92% at low threshold; 84% at 0.55</w:t>
            </w:r>
          </w:p>
        </w:tc>
      </w:tr>
      <w:tr>
        <w:tc>
          <w:tcPr>
            <w:tcW w:type="dxa" w:w="4320"/>
          </w:tcPr>
          <w:p>
            <w:r>
              <w:t>Adaptation</w:t>
            </w:r>
          </w:p>
        </w:tc>
        <w:tc>
          <w:tcPr>
            <w:tcW w:type="dxa" w:w="4320"/>
          </w:tcPr>
          <w:p>
            <w:r>
              <w:t>ROC-AUC 0.810 to 0.945; recall 95% to 95%</w:t>
            </w:r>
          </w:p>
        </w:tc>
      </w:tr>
    </w:tbl>
    <w:p>
      <w:r>
        <w:br w:type="page"/>
      </w:r>
    </w:p>
    <w:p>
      <w:pPr>
        <w:pStyle w:val="Heading2"/>
      </w:pPr>
      <w:r>
        <w:t>FIX 3 — Table 4.2 must list THIRTEEN signals</w:t>
      </w:r>
    </w:p>
    <w:p>
      <w:r>
        <w:t>Your version has 12 because "Exclamation count" was merged into "Urgency markers". Replace the whole of Section 4.3 with this block.</w:t>
      </w:r>
    </w:p>
    <w:p>
      <w:pPr>
        <w:pStyle w:val="Heading2"/>
      </w:pPr>
      <w:r>
        <w:t>4.3 Data and Feature Design</w:t>
      </w:r>
    </w:p>
    <w:p>
      <w:r>
        <w:t>The thirteen structural metadata signals are defined in Table 4.2.</w:t>
      </w:r>
    </w:p>
    <w:p>
      <w:r/>
      <w:r>
        <w:rPr>
          <w:b/>
        </w:rPr>
        <w:t>Table 4.2 — The thirteen structural metadata signals.</w:t>
      </w:r>
      <w:r/>
    </w:p>
    <w:tbl>
      <w:tblPr>
        <w:tblStyle w:val="TableGrid"/>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Meaning / rationale</w:t>
            </w:r>
          </w:p>
        </w:tc>
      </w:tr>
      <w:tr>
        <w:tc>
          <w:tcPr>
            <w:tcW w:type="dxa" w:w="4320"/>
          </w:tcPr>
          <w:p>
            <w:r>
              <w:t>Subject length</w:t>
            </w:r>
          </w:p>
        </w:tc>
        <w:tc>
          <w:tcPr>
            <w:tcW w:type="dxa" w:w="4320"/>
          </w:tcPr>
          <w:p>
            <w:r>
              <w:t>Phishing often uses unusually short or long subjects.</w:t>
            </w:r>
          </w:p>
        </w:tc>
      </w:tr>
      <w:tr>
        <w:tc>
          <w:tcPr>
            <w:tcW w:type="dxa" w:w="4320"/>
          </w:tcPr>
          <w:p>
            <w:r>
              <w:t>Body length</w:t>
            </w:r>
          </w:p>
        </w:tc>
        <w:tc>
          <w:tcPr>
            <w:tcW w:type="dxa" w:w="4320"/>
          </w:tcPr>
          <w:p>
            <w:r>
              <w:t>Length of the body in characters.</w:t>
            </w:r>
          </w:p>
        </w:tc>
      </w:tr>
      <w:tr>
        <w:tc>
          <w:tcPr>
            <w:tcW w:type="dxa" w:w="4320"/>
          </w:tcPr>
          <w:p>
            <w:r>
              <w:t>Number of links</w:t>
            </w:r>
          </w:p>
        </w:tc>
        <w:tc>
          <w:tcPr>
            <w:tcW w:type="dxa" w:w="4320"/>
          </w:tcPr>
          <w:p>
            <w:r>
              <w:t>Count of URLs in the body.</w:t>
            </w:r>
          </w:p>
        </w:tc>
      </w:tr>
      <w:tr>
        <w:tc>
          <w:tcPr>
            <w:tcW w:type="dxa" w:w="4320"/>
          </w:tcPr>
          <w:p>
            <w:r>
              <w:t>Distinct link domains</w:t>
            </w:r>
          </w:p>
        </w:tc>
        <w:tc>
          <w:tcPr>
            <w:tcW w:type="dxa" w:w="4320"/>
          </w:tcPr>
          <w:p>
            <w:r>
              <w:t>Number of different domains linked; many distinct domains suggest bulk campaigns.</w:t>
            </w:r>
          </w:p>
        </w:tc>
      </w:tr>
      <w:tr>
        <w:tc>
          <w:tcPr>
            <w:tcW w:type="dxa" w:w="4320"/>
          </w:tcPr>
          <w:p>
            <w:r>
              <w:t>Number of attachments</w:t>
            </w:r>
          </w:p>
        </w:tc>
        <w:tc>
          <w:tcPr>
            <w:tcW w:type="dxa" w:w="4320"/>
          </w:tcPr>
          <w:p>
            <w:r>
              <w:t>Count of attached files.</w:t>
            </w:r>
          </w:p>
        </w:tc>
      </w:tr>
      <w:tr>
        <w:tc>
          <w:tcPr>
            <w:tcW w:type="dxa" w:w="4320"/>
          </w:tcPr>
          <w:p>
            <w:r>
              <w:t>Sender has a domain</w:t>
            </w:r>
          </w:p>
        </w:tc>
        <w:tc>
          <w:tcPr>
            <w:tcW w:type="dxa" w:w="4320"/>
          </w:tcPr>
          <w:p>
            <w:r>
              <w:t>Whether the sender address contained a usable domain.</w:t>
            </w:r>
          </w:p>
        </w:tc>
      </w:tr>
      <w:tr>
        <w:tc>
          <w:tcPr>
            <w:tcW w:type="dxa" w:w="4320"/>
          </w:tcPr>
          <w:p>
            <w:r>
              <w:t>Sender–link domain mismatch</w:t>
            </w:r>
          </w:p>
        </w:tc>
        <w:tc>
          <w:tcPr>
            <w:tcW w:type="dxa" w:w="4320"/>
          </w:tcPr>
          <w:p>
            <w:r>
              <w:t>The sender's domain was absent from the body's link domains — a classic phishing signal.</w:t>
            </w:r>
          </w:p>
        </w:tc>
      </w:tr>
      <w:tr>
        <w:tc>
          <w:tcPr>
            <w:tcW w:type="dxa" w:w="4320"/>
          </w:tcPr>
          <w:p>
            <w:r>
              <w:t>Reply-To present</w:t>
            </w:r>
          </w:p>
        </w:tc>
        <w:tc>
          <w:tcPr>
            <w:tcW w:type="dxa" w:w="4320"/>
          </w:tcPr>
          <w:p>
            <w:r>
              <w:t>Whether a Reply-To header was present (a possible redirect of replies).</w:t>
            </w:r>
          </w:p>
        </w:tc>
      </w:tr>
      <w:tr>
        <w:tc>
          <w:tcPr>
            <w:tcW w:type="dxa" w:w="4320"/>
          </w:tcPr>
          <w:p>
            <w:r>
              <w:t>SPF authentication result</w:t>
            </w:r>
          </w:p>
        </w:tc>
        <w:tc>
          <w:tcPr>
            <w:tcW w:type="dxa" w:w="4320"/>
          </w:tcPr>
          <w:p>
            <w:r>
              <w:t>Whether a sender-policy-framework pass was indicated in the authentication headers.</w:t>
            </w:r>
          </w:p>
        </w:tc>
      </w:tr>
      <w:tr>
        <w:tc>
          <w:tcPr>
            <w:tcW w:type="dxa" w:w="4320"/>
          </w:tcPr>
          <w:p>
            <w:r>
              <w:t>DKIM signature present</w:t>
            </w:r>
          </w:p>
        </w:tc>
        <w:tc>
          <w:tcPr>
            <w:tcW w:type="dxa" w:w="4320"/>
          </w:tcPr>
          <w:p>
            <w:r>
              <w:t>Whether a DomainKeys-Identified-Mail signature header was present.</w:t>
            </w:r>
          </w:p>
        </w:tc>
      </w:tr>
      <w:tr>
        <w:tc>
          <w:tcPr>
            <w:tcW w:type="dxa" w:w="4320"/>
          </w:tcPr>
          <w:p>
            <w:r>
              <w:t>Capitals ratio in subject</w:t>
            </w:r>
          </w:p>
        </w:tc>
        <w:tc>
          <w:tcPr>
            <w:tcW w:type="dxa" w:w="4320"/>
          </w:tcPr>
          <w:p>
            <w:r>
              <w:t>Fraction of upper-case letters in the subject line.</w:t>
            </w:r>
          </w:p>
        </w:tc>
      </w:tr>
      <w:tr>
        <w:tc>
          <w:tcPr>
            <w:tcW w:type="dxa" w:w="4320"/>
          </w:tcPr>
          <w:p>
            <w:r>
              <w:t>Exclamation count</w:t>
            </w:r>
          </w:p>
        </w:tc>
        <w:tc>
          <w:tcPr>
            <w:tcW w:type="dxa" w:w="4320"/>
          </w:tcPr>
          <w:p>
            <w:r>
              <w:t>Number of exclamation marks in the subject and body.</w:t>
            </w:r>
          </w:p>
        </w:tc>
      </w:tr>
      <w:tr>
        <w:tc>
          <w:tcPr>
            <w:tcW w:type="dxa" w:w="4320"/>
          </w:tcPr>
          <w:p>
            <w:r>
              <w:t>Urgency term count</w:t>
            </w:r>
          </w:p>
        </w:tc>
        <w:tc>
          <w:tcPr>
            <w:tcW w:type="dxa" w:w="4320"/>
          </w:tcPr>
          <w:p>
            <w:r>
              <w:t>Number of urgent or verification-related terms (eleven-term list) found in the subject and body.</w:t>
            </w:r>
          </w:p>
        </w:tc>
      </w:tr>
    </w:tbl>
    <w:p>
      <w:r>
        <w:t>The subject and body were concatenated into a single content string so that both parts were represented in the text features. For plain-text inputs without headers (such as the body-only external sets), the parser treated the whole input as the body and set the header-derived signals to neutral values, preserving the feature-vector structure. Once trained, the model was saved to a single file so that the service and the mailbox watcher loaded an identical predictor. Keeping the metadata to thirteen signals deliberately avoided a large, fragile handcrafted rule set: unlike a keyword blocklist, each signal contributed a numeric feature whose weight was learned by the classifier rather than maintained by hand, satisfying the objective of an adaptive, learning-based system rather than a static rule engine.</w:t>
      </w:r>
    </w:p>
    <w:p>
      <w:r>
        <w:br w:type="page"/>
      </w:r>
    </w:p>
    <w:p>
      <w:pPr>
        <w:pStyle w:val="Heading2"/>
      </w:pPr>
      <w:r>
        <w:t>FIX 4 — Chapter 2 is missing all of Section 2.1</w:t>
      </w:r>
    </w:p>
    <w:p>
      <w:r>
        <w:t>Your Chapter 2 jumps straight to 2.2, but your own 2.3 Summary refers back to the technologies review. Paste this block immediately after the Chapter 2 heading, before 2.2.</w:t>
      </w:r>
    </w:p>
    <w:p>
      <w:pPr>
        <w:pStyle w:val="Heading2"/>
      </w:pPr>
      <w:r>
        <w:t>2.1 Review of the Technologies</w:t>
      </w:r>
    </w:p>
    <w:p>
      <w:pPr>
        <w:pStyle w:val="Heading3"/>
      </w:pPr>
      <w:r>
        <w:t>2.1.1 Hardware Platform</w:t>
      </w:r>
    </w:p>
    <w:p>
      <w:r>
        <w:t>The project was deliberately designed to run on commodity hardware. Development and evaluation were performed on a consumer laptop running Windows 11, powered by an Intel-class central processing unit with integrated Intel UHD graphics and no discrete graphics processing unit. This constraint was treated as a design requirement: a detector that ran comfortably on a central processing unit could be deployed widely, embedded in mail automation, and reproduced by other researchers without specialist infrastructure.</w:t>
      </w:r>
    </w:p>
    <w:p>
      <w:pPr>
        <w:pStyle w:val="Heading3"/>
      </w:pPr>
      <w:r>
        <w:t>2.1.2 Firmware / Operating System</w:t>
      </w:r>
    </w:p>
    <w:p>
      <w:r>
        <w:t>All core components were written in Python and were developed and tested on Windows 11. No special firmware was required, and no hardware programming was involved. The operating system served only as the host for the Python runtime, the virtual environment and the local file storage used for email and model artefacts.</w:t>
      </w:r>
    </w:p>
    <w:p>
      <w:pPr>
        <w:pStyle w:val="Heading3"/>
      </w:pPr>
      <w:r>
        <w:t>2.1.3 Database</w:t>
      </w:r>
    </w:p>
    <w:p>
      <w:r>
        <w:t>No database server was deployed. Emails, labels and reviewed feedback were stored as comma-separated-value files, and the trained model was serialised to disk with Joblib. This choice followed the lightweight, script-based design of the system, kept the system portable and easy to back up, and avoided the operational overhead of a database for a dataset processed in batch. The comma-separated-value format also allowed the public corpora to be merged and de-duplicated with simple, auditable scripts.</w:t>
      </w:r>
    </w:p>
    <w:p>
      <w:pPr>
        <w:pStyle w:val="Heading3"/>
      </w:pPr>
      <w:r>
        <w:t>2.1.4 Programming Language and Libraries</w:t>
      </w:r>
    </w:p>
    <w:p>
      <w:r>
        <w:t>Python (3.11+) was used as the primary programming language for all pipeline stages. The principal library was scikit-learn for feature extraction and classification — including TF-IDF vectorisation, dictionary vectorisation of metadata, feature union, standardisation, logistic regression, multinomial Naïve Bayes and the linear support-vector classifier — and Joblib for model persistence [15]. The service layer used FastAPI with Uvicorn as the application server and Pydantic for request validation. Standard-library modules (email, re, csv, pathlib) handled message parsing, regular-expression extraction and file handling.</w:t>
      </w:r>
    </w:p>
    <w:p>
      <w:pPr>
        <w:pStyle w:val="Heading3"/>
      </w:pPr>
      <w:r>
        <w:t>2.1.5 Algorithms</w:t>
      </w:r>
    </w:p>
    <w:p>
      <w:r>
        <w:t xml:space="preserve">Five algorithmic families were relevant. </w:t>
      </w:r>
      <w:r>
        <w:rPr>
          <w:b/>
        </w:rPr>
        <w:t>Term frequency–inverse document frequency</w:t>
      </w:r>
      <w:r>
        <w:t xml:space="preserve"> weighted terms by how often they appeared in a message and how rare they were across the corpus; word unigrams and bigrams captured phrasing, while character n-grams of length three to five tolerated obfuscation such as spaced or misspelled words. </w:t>
      </w:r>
      <w:r>
        <w:rPr>
          <w:b/>
        </w:rPr>
        <w:t>Multinomial Naïve Bayes</w:t>
      </w:r>
      <w:r>
        <w:t xml:space="preserve"> applied Bayes' theorem with a conditional-independence assumption to provide a fast generative baseline; it remained a competitive, efficient method for text classification and had been shown to reach high accuracy when paired with sound preprocessing [3], [8]. </w:t>
      </w:r>
      <w:r>
        <w:rPr>
          <w:b/>
        </w:rPr>
        <w:t>Logistic regression</w:t>
      </w:r>
      <w:r>
        <w:t xml:space="preserve"> modelled the log-odds of spam as a linear function of the features passed through a sigmoid, producing a probability estimate and interpretable coefficients. </w:t>
      </w:r>
      <w:r>
        <w:rPr>
          <w:b/>
        </w:rPr>
        <w:t>Linear support vector machines</w:t>
      </w:r>
      <w:r>
        <w:t xml:space="preserve"> found a maximum-margin separating hyperplane and provided a strong discriminative baseline for high-dimensional text. </w:t>
      </w:r>
      <w:r>
        <w:rPr>
          <w:b/>
        </w:rPr>
        <w:t>Standardisation</w:t>
      </w:r>
      <w:r>
        <w:t xml:space="preserve"> was applied to metadata features so that raw lengths could not dominate the normalised text features.</w:t>
      </w:r>
    </w:p>
    <w:p>
      <w:r>
        <w:t>Comprehensive reviews of machine learning for spam filtering confirmed that learned models consistently outperformed manually engineered rule systems, and that hybrid combinations of feature sources were among the most robust approaches [4], [5]. Recent comparative studies across many classical classifiers further showed that models such as random forests and support vector machines reached the high-nineties in accuracy on public phishing and spam corpora [6], [7]. The choice of logistic regression as the deployed classifier reflected three practical requirements: it produced a genuine probability that could be compared against an adjustable threshold, it accepted balanced class weighting to compensate for the ham/spam ratio, and its linear coefficients allowed the contribution of each feature to be inspected, supporting the explainability requirement. Naïve Bayes and the linear support vector machine were retained as comparators because together they spanned the generative-to-discriminative spectrum, with Naïve Bayes a generative baseline and the support vector machine a maximum-margin discriminative one.</w:t>
      </w:r>
    </w:p>
    <w:p>
      <w:pPr>
        <w:pStyle w:val="Heading3"/>
      </w:pPr>
      <w:r>
        <w:t>2.1.6 Summary of the Technologies Review</w:t>
      </w:r>
    </w:p>
    <w:p>
      <w:r>
        <w:t>A Python and scikit-learn stack provided a fast, explainable and reproducible detector on commodity central-processing-unit hardware, with comma-separated-value storage and Joblib persistence keeping the system portable and free of any special hardware dependency.</w:t>
      </w:r>
    </w:p>
    <w:p>
      <w:r>
        <w:br w:type="page"/>
      </w:r>
    </w:p>
    <w:p>
      <w:pPr>
        <w:pStyle w:val="Heading2"/>
      </w:pPr>
      <w:r>
        <w:t>FIX 5 — Missing and corrected results / conclusion sections</w:t>
      </w:r>
    </w:p>
    <w:p>
      <w:pPr>
        <w:pStyle w:val="Heading3"/>
      </w:pPr>
      <w:r>
        <w:t>5a. Replace Section 6.2.3 (fixes the 11 ms figure)</w:t>
      </w:r>
    </w:p>
    <w:p>
      <w:pPr>
        <w:pStyle w:val="Heading3"/>
      </w:pPr>
      <w:r>
        <w:t>6.2.3 Detection of Genuine LLM-Generated Phishing</w:t>
      </w:r>
    </w:p>
    <w:p>
      <w:r>
        <w:t>The detector was tested on 4,986 phishing emails generated by GPT-4.1, DeepSeek 3.2 and LLaMA 3.3 — an external set the model was never trained on. The baseline detector caught 92% (4,565/4,986) at a low-threshold operating point and 84% at the default 0.55 threshold, at roughly 13 milliseconds per email. Table 6.3 summarises the result.</w:t>
      </w:r>
    </w:p>
    <w:p>
      <w:r/>
      <w:r>
        <w:rPr>
          <w:b/>
        </w:rPr>
        <w:t>Table 6.3 — Detection of genuine LLM-generated phishing (n = 4,986).</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Operating threshold</w:t>
            </w:r>
          </w:p>
        </w:tc>
        <w:tc>
          <w:tcPr>
            <w:tcW w:type="dxa" w:w="2880"/>
          </w:tcPr>
          <w:p>
            <w:r>
              <w:rPr>
                <w:b/>
              </w:rPr>
              <w:t>Emails caught</w:t>
            </w:r>
          </w:p>
        </w:tc>
        <w:tc>
          <w:tcPr>
            <w:tcW w:type="dxa" w:w="2880"/>
          </w:tcPr>
          <w:p>
            <w:r>
              <w:rPr>
                <w:b/>
              </w:rPr>
              <w:t>Catch rate</w:t>
            </w:r>
          </w:p>
        </w:tc>
      </w:tr>
      <w:tr>
        <w:tc>
          <w:tcPr>
            <w:tcW w:type="dxa" w:w="2880"/>
          </w:tcPr>
          <w:p>
            <w:r>
              <w:t>Low threshold (favour recall)</w:t>
            </w:r>
          </w:p>
        </w:tc>
        <w:tc>
          <w:tcPr>
            <w:tcW w:type="dxa" w:w="2880"/>
          </w:tcPr>
          <w:p>
            <w:r>
              <w:t>4,565 / 4,986</w:t>
            </w:r>
          </w:p>
        </w:tc>
        <w:tc>
          <w:tcPr>
            <w:tcW w:type="dxa" w:w="2880"/>
          </w:tcPr>
          <w:p>
            <w:r>
              <w:t>92%</w:t>
            </w:r>
          </w:p>
        </w:tc>
      </w:tr>
      <w:tr>
        <w:tc>
          <w:tcPr>
            <w:tcW w:type="dxa" w:w="2880"/>
          </w:tcPr>
          <w:p>
            <w:r>
              <w:t>Default 0.55</w:t>
            </w:r>
          </w:p>
        </w:tc>
        <w:tc>
          <w:tcPr>
            <w:tcW w:type="dxa" w:w="2880"/>
          </w:tcPr>
          <w:p>
            <w:r>
              <w:t>≈ 4,188 / 4,986</w:t>
            </w:r>
          </w:p>
        </w:tc>
        <w:tc>
          <w:tcPr>
            <w:tcW w:type="dxa" w:w="2880"/>
          </w:tcPr>
          <w:p>
            <w:r>
              <w:t>84%</w:t>
            </w:r>
          </w:p>
        </w:tc>
      </w:tr>
    </w:tbl>
    <w:p>
      <w:r>
        <w:t>The catch rate fell as the threshold rose, showing that the model was systematically less confident on large-language-model-written mail than on classic phishing — evidence that AI-assisted messages were harder, and a direct motivation for the adaptive retraining mechanism. The result was consistent with recent research in which a conventionally trained detector still caught the large majority of AI-generated phishing [12]. The decline of catch rate with the decision threshold is plotted in Figure 6.3.</w:t>
      </w:r>
    </w:p>
    <w:p>
      <w:r>
        <w:t>[FIGURE 6.3: Catch rate versus decision threshold on the LLM-phishing set.]</w:t>
      </w:r>
    </w:p>
    <w:p>
      <w:pPr>
        <w:pStyle w:val="Heading3"/>
      </w:pPr>
      <w:r>
        <w:t>5b. Replace Section 6.2.4 (fixes the "20% to 85%" claim)</w:t>
      </w:r>
    </w:p>
    <w:p>
      <w:pPr>
        <w:pStyle w:val="Heading3"/>
      </w:pPr>
      <w:r>
        <w:t>6.2.4 Adaptive Improvement (Objective 4)</w:t>
      </w:r>
    </w:p>
    <w:p>
      <w:r>
        <w:t>After retraining on a disjoint, reviewed batch of modern AI-style and business-email-compromise emails, detection ranking on a held-out modern-threat set improved from ROC-AUC 0.81 to 0.945, a 16.7% relative improvement in ranking quality, while phishing recall at the default 0.55 threshold was maintained at 95% and main-corpus accuracy was maintained at 0.991. Table 6.4 summarises the change; in a controlled before/after demonstration on a held-out new campaign, the number of campaign messages caught rose from 0 out of 6 before retraining to 5 out of 6 after a single reviewed retraining cycle.</w:t>
      </w:r>
    </w:p>
    <w:p>
      <w:r/>
      <w:r>
        <w:rPr>
          <w:b/>
        </w:rPr>
        <w:t>Table 6.4 — Before/after one adaptive retraining cycle on held-out modern-threat email.</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Before retraining</w:t>
            </w:r>
          </w:p>
        </w:tc>
        <w:tc>
          <w:tcPr>
            <w:tcW w:type="dxa" w:w="2880"/>
          </w:tcPr>
          <w:p>
            <w:r>
              <w:rPr>
                <w:b/>
              </w:rPr>
              <w:t>After retraining</w:t>
            </w:r>
          </w:p>
        </w:tc>
      </w:tr>
      <w:tr>
        <w:tc>
          <w:tcPr>
            <w:tcW w:type="dxa" w:w="2880"/>
          </w:tcPr>
          <w:p>
            <w:r>
              <w:t>ROC-AUC (modern set)</w:t>
            </w:r>
          </w:p>
        </w:tc>
        <w:tc>
          <w:tcPr>
            <w:tcW w:type="dxa" w:w="2880"/>
          </w:tcPr>
          <w:p>
            <w:r>
              <w:t>0.81</w:t>
            </w:r>
          </w:p>
        </w:tc>
        <w:tc>
          <w:tcPr>
            <w:tcW w:type="dxa" w:w="2880"/>
          </w:tcPr>
          <w:p>
            <w:r>
              <w:t>0.945</w:t>
            </w:r>
          </w:p>
        </w:tc>
      </w:tr>
      <w:tr>
        <w:tc>
          <w:tcPr>
            <w:tcW w:type="dxa" w:w="2880"/>
          </w:tcPr>
          <w:p>
            <w:r>
              <w:t>Phishing recall at threshold 0.55</w:t>
            </w:r>
          </w:p>
        </w:tc>
        <w:tc>
          <w:tcPr>
            <w:tcW w:type="dxa" w:w="2880"/>
          </w:tcPr>
          <w:p>
            <w:r>
              <w:t>95%</w:t>
            </w:r>
          </w:p>
        </w:tc>
        <w:tc>
          <w:tcPr>
            <w:tcW w:type="dxa" w:w="2880"/>
          </w:tcPr>
          <w:p>
            <w:r>
              <w:t>95%</w:t>
            </w:r>
          </w:p>
        </w:tc>
      </w:tr>
      <w:tr>
        <w:tc>
          <w:tcPr>
            <w:tcW w:type="dxa" w:w="2880"/>
          </w:tcPr>
          <w:p>
            <w:r>
              <w:t>Main-corpus accuracy</w:t>
            </w:r>
          </w:p>
        </w:tc>
        <w:tc>
          <w:tcPr>
            <w:tcW w:type="dxa" w:w="2880"/>
          </w:tcPr>
          <w:p>
            <w:r>
              <w:t>0.991</w:t>
            </w:r>
          </w:p>
        </w:tc>
        <w:tc>
          <w:tcPr>
            <w:tcW w:type="dxa" w:w="2880"/>
          </w:tcPr>
          <w:p>
            <w:r>
              <w:t>0.991 (maintained)</w:t>
            </w:r>
          </w:p>
        </w:tc>
      </w:tr>
      <w:tr>
        <w:tc>
          <w:tcPr>
            <w:tcW w:type="dxa" w:w="2880"/>
          </w:tcPr>
          <w:p>
            <w:r>
              <w:t>Demo campaign caught (held-out set)</w:t>
            </w:r>
          </w:p>
        </w:tc>
        <w:tc>
          <w:tcPr>
            <w:tcW w:type="dxa" w:w="2880"/>
          </w:tcPr>
          <w:p>
            <w:r>
              <w:t>0 / 6</w:t>
            </w:r>
          </w:p>
        </w:tc>
        <w:tc>
          <w:tcPr>
            <w:tcW w:type="dxa" w:w="2880"/>
          </w:tcPr>
          <w:p>
            <w:r>
              <w:t>5 / 6</w:t>
            </w:r>
          </w:p>
        </w:tc>
      </w:tr>
    </w:tbl>
    <w:p>
      <w:r>
        <w:t>The improvement was greatest for threat types actually represented in the reviewed feedback; this scope was reported honestly rather than claiming universal adaptation. The same before/after comparison was also applied to a second, independent held-out set, on which the baseline detector was already close to its ceiling at ROC-AUC 0.965 and 100% recall. After the same retraining cycle, recall on that set remained at 100% while ROC-AUC moved slightly to 0.951. Adaptation therefore did not improve a set on which there was effectively no headroom to gain, and the small change in ranking quality is within the variation expected from refitting on a marginally different training sample. This outcome is reported because it delimits the claim: reviewed feedback improves detection for threat families the baseline handles poorly, and neither improves nor materially harms performance where the baseline is already near-perfect. The retraining cycle was run as a scheduled batch step, and the retrained model was evaluated on the held-out data before further use, confirming that main-corpus accuracy was maintained while the target threat ranking improved. Retraining in controlled batches rather than continuously distinguished the system from both a static model and an uncontrolled online-learning loop. The improvement in ranking is visualised by the two ROC curves, before and after retraining, in Figure 6.4.</w:t>
      </w:r>
    </w:p>
    <w:p>
      <w:r>
        <w:t>[FIGURE 6.4: ROC curves before and after one adaptive retraining cycle.]</w:t>
      </w:r>
    </w:p>
    <w:p>
      <w:pPr>
        <w:pStyle w:val="Heading3"/>
      </w:pPr>
      <w:r>
        <w:t>5c. Add Section 6.5 Concluding Remark (missing entirely) at the end of Chapter 6</w:t>
      </w:r>
    </w:p>
    <w:p>
      <w:pPr>
        <w:pStyle w:val="Heading2"/>
      </w:pPr>
      <w:r>
        <w:t>6.5 Concluding Remark</w:t>
      </w:r>
    </w:p>
    <w:p>
      <w:r>
        <w:t>All four objectives were met with a fast, explainable and adaptive system. The fused detector matched strong published results on the public corpus, generalised to previously unseen AI-generated phishing, and improved measurably on new threat types after a single reviewed retraining cycle, while keeping false positives low and every decision interpretable.</w:t>
      </w:r>
    </w:p>
    <w:p>
      <w:pPr>
        <w:pStyle w:val="Heading3"/>
      </w:pPr>
      <w:r>
        <w:t>5d. Replace Section 7.1 Conclusion (fixes 16 ms)</w:t>
      </w:r>
    </w:p>
    <w:p>
      <w:pPr>
        <w:pStyle w:val="Heading2"/>
      </w:pPr>
      <w:r>
        <w:t>7.1 Conclusion</w:t>
      </w:r>
    </w:p>
    <w:p>
      <w:r>
        <w:t>An adaptive email spam detection system using artificial intelligence and content–metadata fusion was designed, implemented and evaluated. The system fused word and character TF-IDF content features with thirteen standardised structural metadata signals in a class-balanced logistic-regression model, with Naïve Bayes and a linear support vector machine evaluated for comparison. On a held-out split of 81,152 public emails it achieved 99.2% accuracy with precision 0.991, recall 0.992 and ROC-AUC of 1.000, at a median latency of approximately 13 milliseconds per email on a commodity central processing unit and a false-positive rate of about 0.9%. It flagged 92% of previously unseen phishing emails generated by three large language models, demonstrating that a conventionally trained fusion detector generalises strongly to AI-assisted phishing without any AI-specific training. After a single reviewed retraining cycle it improved from ROC-AUC 0.81 to 0.945 on held-out modern-threat email while preserving main-corpus accuracy, evidencing an effective and practical adaptation mechanism. The system was delivered as a local, open-source service with a browser review console, mailbox quarantine and feedback-driven retraining, satisfying all four stated objectives.</w:t>
      </w:r>
    </w:p>
    <w:p>
      <w:pPr>
        <w:pStyle w:val="Heading3"/>
      </w:pPr>
      <w:r>
        <w:t>5e. Add Section 7.2 (missing entirely), between 7.1 and the Recommendation section</w:t>
      </w:r>
    </w:p>
    <w:p>
      <w:pPr>
        <w:pStyle w:val="Heading2"/>
      </w:pPr>
      <w:r>
        <w:t>7.2 Limitations of the Adaptation Mechanism</w:t>
      </w:r>
    </w:p>
    <w:p>
      <w:r>
        <w:t>Two properties of the adaptation loop constrain how quickly and how safely the deployed model can change, and both were deliberate design decisions rather than oversights.</w:t>
      </w:r>
    </w:p>
    <w:p>
      <w:r>
        <w:t>The first is that retraining is a batch operation and cannot be performed on a single new message. Term weighting in the proposed system is corpus-dependent: as Equation (3.2) shows, the inverse document frequency of a term is computed from the total number of documents and the number of documents containing that term, so introducing one additional message changes the weight of every term in the vocabulary. The vectoriser and the classifier must therefore be refitted together over the whole corpus, which takes several minutes on the 81,152-message dataset. Training on the corrected message alone is not a valid alternative: the resulting model would represent only that single example and would discard everything learned from the remaining corpus, an effect known as catastrophic forgetting. Retraining is consequently performed as a scheduled maintenance action on the corpus together with the accumulated corrections, rather than after every individual review.</w:t>
      </w:r>
    </w:p>
    <w:p>
      <w:r>
        <w:t>An incremental alternative exists. A stochastic-gradient classifier combined with feature hashing supports partial fitting, and would allow the model to be updated in milliseconds for each reviewed message. It was not adopted here for two reasons. Such a model forgoes the calibrated probability estimates that the present system relies on for its adjustable decision threshold and for the explanation of individual verdicts, and, more importantly, it removes the human checkpoint between a reviewer's correction and a change in the deployed model. That checkpoint is a security control. Adaptive filters are a documented target for label-flipping poisoning attacks, in which an adversary submits deliberately mislabelled messages so that the decision boundary shifts in their favour over time. In the proposed system a correction cannot alter the deployed model until a reviewer explicitly requests retraining, and the candidate model is then accepted only if it does not reduce ranking quality on the held-out split; a batch of corrupted corrections is therefore rejected automatically rather than silently degrading detection.</w:t>
      </w:r>
    </w:p>
    <w:p>
      <w:r>
        <w:t>The second limitation is that the validation gate protects against a poor batch of corrections but does not provide model versioning. Once a candidate model has been accepted and deployed, there is no automated mechanism to revert to a previous version, and a reviewer correction recorded in error can be changed or withdrawn only before the next retraining cycle is run.</w:t>
      </w:r>
    </w:p>
    <w:p>
      <w:r>
        <w:br w:type="page"/>
      </w:r>
    </w:p>
    <w:p>
      <w:pPr>
        <w:pStyle w:val="Heading2"/>
      </w:pPr>
      <w:r>
        <w:t>FIX 6 — Optional: Sections 5.3 and 5.4</w:t>
      </w:r>
    </w:p>
    <w:p>
      <w:r>
        <w:t>Your 5.4 has only three figures. The current version has five numbered subsections, one per figure, each with an explicit "Figure 5.x shows..." elaboration, which is what the marking guidance on diagrams asks for. Section 5.3 is included so the step numbering matches. Only do this if you have time.</w:t>
      </w:r>
    </w:p>
    <w:p>
      <w:pPr>
        <w:pStyle w:val="Heading3"/>
      </w:pPr>
      <w:r>
        <w:t>6a. Section 5.3</w:t>
      </w:r>
    </w:p>
    <w:p>
      <w:pPr>
        <w:pStyle w:val="Heading2"/>
      </w:pPr>
      <w:r>
        <w:t>5.3 Setting and Configuration</w:t>
      </w:r>
    </w:p>
    <w:p>
      <w:r>
        <w:t>This section outlines the configuration steps required to prepare the environment, train the detector and connect it to a mailbox so that incoming messages are scored automatically. No paid service, cloud classification API or third-party scanning key was required: all classification is performed locally by the trained model, and the only credential involved is the mail-account application password used to read the mailbox. Each step below was performed once and is reproducible on any machine with Python installed.</w:t>
      </w:r>
    </w:p>
    <w:p>
      <w:pPr>
        <w:pStyle w:val="Heading3"/>
      </w:pPr>
      <w:r>
        <w:t>5.3.1 Python Environment Configuration</w:t>
      </w:r>
    </w:p>
    <w:p>
      <w:r>
        <w:t xml:space="preserve">1. </w:t>
      </w:r>
      <w:r>
        <w:rPr>
          <w:b/>
        </w:rPr>
        <w:t>Install Python 3.13</w:t>
      </w:r>
      <w:r>
        <w:t xml:space="preserve"> for Windows from python.org, selecting "Add python.exe to PATH".</w:t>
      </w:r>
    </w:p>
    <w:p>
      <w:r>
        <w:t xml:space="preserve">2. </w:t>
      </w:r>
      <w:r>
        <w:rPr>
          <w:b/>
        </w:rPr>
        <w:t>Create the project virtual environment</w:t>
      </w:r>
      <w:r>
        <w:t xml:space="preserve"> in the project folder so that the libraries are</w:t>
      </w:r>
    </w:p>
    <w:p>
      <w:r>
        <w:t>isolated from the system installation: python -m venv .venv</w:t>
      </w:r>
    </w:p>
    <w:p>
      <w:r>
        <w:t xml:space="preserve">3. </w:t>
      </w:r>
      <w:r>
        <w:rPr>
          <w:b/>
        </w:rPr>
        <w:t>Activate the environment</w:t>
      </w:r>
      <w:r>
        <w:t>: .venv\Scripts\activate (the prompt is then prefixed with</w:t>
      </w:r>
    </w:p>
    <w:p>
      <w:r>
        <w:t>(.venv)).</w:t>
      </w:r>
    </w:p>
    <w:p>
      <w:r>
        <w:t xml:space="preserve">4. </w:t>
      </w:r>
      <w:r>
        <w:rPr>
          <w:b/>
        </w:rPr>
        <w:t>Install the required libraries</w:t>
      </w:r>
      <w:r>
        <w:t>: pip install -r requirements.txt, which installs</w:t>
      </w:r>
    </w:p>
    <w:p>
      <w:r>
        <w:t>scikit-learn, FastAPI, Uvicorn, pandas, Matplotlib and Joblib together with their dependencies.</w:t>
      </w:r>
    </w:p>
    <w:p>
      <w:r>
        <w:t xml:space="preserve">5. </w:t>
      </w:r>
      <w:r>
        <w:rPr>
          <w:b/>
        </w:rPr>
        <w:t>Verify the installation</w:t>
      </w:r>
      <w:r>
        <w:t xml:space="preserve"> with pip list, as shown in Figure 5.1.</w:t>
      </w:r>
    </w:p>
    <w:p>
      <w:r>
        <w:t>No configuration file, environment variable or administrator privilege is required for this stage.</w:t>
      </w:r>
    </w:p>
    <w:p>
      <w:pPr>
        <w:pStyle w:val="Heading3"/>
      </w:pPr>
      <w:r>
        <w:t>5.3.2 Detector Configuration</w:t>
      </w:r>
    </w:p>
    <w:p>
      <w:r>
        <w:t>The classifier settings were fixed at training time and are stored inside the saved model file, so the mailbox connector and the service load an identical predictor. The deployed decision threshold defaulted to 0.55 and was re-tuned per deployment using the threshold sweep; lowering the threshold increased recall at the cost of more false positives, which was useful when prioritising catch rate for AI-style mail. Table 5.3 lists the model and feature hyper-parameters.</w:t>
      </w:r>
    </w:p>
    <w:p>
      <w:r/>
      <w:r>
        <w:rPr>
          <w:b/>
        </w:rPr>
        <w:t>Table 5.3 — Model and feature hyper-parameters.</w:t>
      </w:r>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Setting</w:t>
            </w:r>
          </w:p>
        </w:tc>
      </w:tr>
      <w:tr>
        <w:tc>
          <w:tcPr>
            <w:tcW w:type="dxa" w:w="4320"/>
          </w:tcPr>
          <w:p>
            <w:r>
              <w:t>Word TF-IDF</w:t>
            </w:r>
          </w:p>
        </w:tc>
        <w:tc>
          <w:tcPr>
            <w:tcW w:type="dxa" w:w="4320"/>
          </w:tcPr>
          <w:p>
            <w:r>
              <w:t>n-grams 1–2; max 40,000 features; sub-linear TF</w:t>
            </w:r>
          </w:p>
        </w:tc>
      </w:tr>
      <w:tr>
        <w:tc>
          <w:tcPr>
            <w:tcW w:type="dxa" w:w="4320"/>
          </w:tcPr>
          <w:p>
            <w:r>
              <w:t>Character TF-IDF</w:t>
            </w:r>
          </w:p>
        </w:tc>
        <w:tc>
          <w:tcPr>
            <w:tcW w:type="dxa" w:w="4320"/>
          </w:tcPr>
          <w:p>
            <w:r>
              <w:t>`char_wb`; n-grams 3–5; max 30,000 features; sub-linear TF</w:t>
            </w:r>
          </w:p>
        </w:tc>
      </w:tr>
      <w:tr>
        <w:tc>
          <w:tcPr>
            <w:tcW w:type="dxa" w:w="4320"/>
          </w:tcPr>
          <w:p>
            <w:r>
              <w:t>Metadata vectoriser</w:t>
            </w:r>
          </w:p>
        </w:tc>
        <w:tc>
          <w:tcPr>
            <w:tcW w:type="dxa" w:w="4320"/>
          </w:tcPr>
          <w:p>
            <w:r>
              <w:t>`DictVectorizer` (sparse)</w:t>
            </w:r>
          </w:p>
        </w:tc>
      </w:tr>
      <w:tr>
        <w:tc>
          <w:tcPr>
            <w:tcW w:type="dxa" w:w="4320"/>
          </w:tcPr>
          <w:p>
            <w:r>
              <w:t>Metadata scaling</w:t>
            </w:r>
          </w:p>
        </w:tc>
        <w:tc>
          <w:tcPr>
            <w:tcW w:type="dxa" w:w="4320"/>
          </w:tcPr>
          <w:p>
            <w:r>
              <w:t>`StandardScaler(with_mean=False)`</w:t>
            </w:r>
          </w:p>
        </w:tc>
      </w:tr>
      <w:tr>
        <w:tc>
          <w:tcPr>
            <w:tcW w:type="dxa" w:w="4320"/>
          </w:tcPr>
          <w:p>
            <w:r>
              <w:t>Classifier</w:t>
            </w:r>
          </w:p>
        </w:tc>
        <w:tc>
          <w:tcPr>
            <w:tcW w:type="dxa" w:w="4320"/>
          </w:tcPr>
          <w:p>
            <w:r>
              <w:t>`LogisticRegression(class_weight="balanced", C=1.5, max_iter=1000)`</w:t>
            </w:r>
          </w:p>
        </w:tc>
      </w:tr>
      <w:tr>
        <w:tc>
          <w:tcPr>
            <w:tcW w:type="dxa" w:w="4320"/>
          </w:tcPr>
          <w:p>
            <w:r>
              <w:t>Decision threshold</w:t>
            </w:r>
          </w:p>
        </w:tc>
        <w:tc>
          <w:tcPr>
            <w:tcW w:type="dxa" w:w="4320"/>
          </w:tcPr>
          <w:p>
            <w:r>
              <w:t>0.55 default; sweep-tunable</w:t>
            </w:r>
          </w:p>
        </w:tc>
      </w:tr>
      <w:tr>
        <w:tc>
          <w:tcPr>
            <w:tcW w:type="dxa" w:w="4320"/>
          </w:tcPr>
          <w:p>
            <w:r>
              <w:t>Random state</w:t>
            </w:r>
          </w:p>
        </w:tc>
        <w:tc>
          <w:tcPr>
            <w:tcW w:type="dxa" w:w="4320"/>
          </w:tcPr>
          <w:p>
            <w:r>
              <w:t>Fixed seed for reproducibility</w:t>
            </w:r>
          </w:p>
        </w:tc>
      </w:tr>
    </w:tbl>
    <w:p>
      <w:r>
        <w:t>In plain terms, the word and character TF-IDF rows controlled how the email text was turned into numbers: single words and two-word pairs (and three-to-five-character fragments) were counted, up to a fixed vocabulary size, with very frequent words dampened. The dictionary vectoriser turned the thirteen metadata signals into numerical features, and the standard scaler rescaled those signals so that a raw value such as body length could not outweigh the word features. The classifier used class-balanced weighting so that the spam and legitimate classes were treated fairly even if one was more common, with a regularisation strength of C = 1.5. The decision threshold of 0.55 meant an email was flagged as spam only when the model's spam probability exceeded 0.55; lowering it caught more spam but produced more false positives, and the threshold sweep used in evaluation chose a suitable operating point. A fixed random seed ensured that the same training run could be reproduced exactly.</w:t>
      </w:r>
    </w:p>
    <w:p>
      <w:pPr>
        <w:pStyle w:val="Heading3"/>
      </w:pPr>
      <w:r>
        <w:t>5.3.3 Mail-Account Configuration for Live Filtering</w:t>
      </w:r>
    </w:p>
    <w:p>
      <w:r>
        <w:t>To filter real incoming mail rather than pasted samples, the detector connects to a mail account over the Internet Message Access Protocol (IMAP), the same protocol ordinary mail clients use to read mail. A dedicated test account was used throughout, so that no third party's private correspondence was processed. The account was prepared as follows:</w:t>
      </w:r>
    </w:p>
    <w:p>
      <w:r>
        <w:t xml:space="preserve">1. </w:t>
      </w:r>
      <w:r>
        <w:rPr>
          <w:b/>
        </w:rPr>
        <w:t>Create a dedicated test mail account</w:t>
      </w:r>
      <w:r>
        <w:t xml:space="preserve"> used only for this project, so that no personal or</w:t>
      </w:r>
    </w:p>
    <w:p>
      <w:r>
        <w:t>third-party mail is read by the system.</w:t>
      </w:r>
    </w:p>
    <w:p>
      <w:r>
        <w:t xml:space="preserve">2. </w:t>
      </w:r>
      <w:r>
        <w:rPr>
          <w:b/>
        </w:rPr>
        <w:t>Enable two-step verification</w:t>
      </w:r>
      <w:r>
        <w:t xml:space="preserve"> on that account, which is a prerequisite for issuing an</w:t>
      </w:r>
    </w:p>
    <w:p>
      <w:r>
        <w:t>application password.</w:t>
      </w:r>
    </w:p>
    <w:p>
      <w:r>
        <w:t xml:space="preserve">3. </w:t>
      </w:r>
      <w:r>
        <w:rPr>
          <w:b/>
        </w:rPr>
        <w:t>Generate an application password</w:t>
      </w:r>
      <w:r>
        <w:t>: in the account security settings, create a sixteen-</w:t>
      </w:r>
    </w:p>
    <w:p>
      <w:r>
        <w:t>character application password for the connector. The ordinary login password is never used and is never stored by the system.</w:t>
      </w:r>
    </w:p>
    <w:p>
      <w:r>
        <w:t xml:space="preserve">4. </w:t>
      </w:r>
      <w:r>
        <w:rPr>
          <w:b/>
        </w:rPr>
        <w:t>Enable IMAP access</w:t>
      </w:r>
      <w:r>
        <w:t xml:space="preserve"> in the mail account settings so that external clients may read the</w:t>
      </w:r>
    </w:p>
    <w:p>
      <w:r>
        <w:t>mailbox.</w:t>
      </w:r>
    </w:p>
    <w:p>
      <w:r>
        <w:t xml:space="preserve">5. </w:t>
      </w:r>
      <w:r>
        <w:rPr>
          <w:b/>
        </w:rPr>
        <w:t>Supply the credentials as environment variables</w:t>
      </w:r>
      <w:r>
        <w:t xml:space="preserve"> rather than editing any source file, so</w:t>
      </w:r>
    </w:p>
    <w:p>
      <w:r>
        <w:t>that no password is written into the code or the report:</w:t>
      </w:r>
    </w:p>
    <w:p>
      <w:r>
        <w:t xml:space="preserve"> $env:IMAP_USER = "the test address" $env:IMAP_PASS = "the sixteen-character application password" </w:t>
      </w:r>
    </w:p>
    <w:p>
      <w:r>
        <w:t xml:space="preserve">6. </w:t>
      </w:r>
      <w:r>
        <w:rPr>
          <w:b/>
        </w:rPr>
        <w:t>Run a read-only check first.</w:t>
      </w:r>
      <w:r>
        <w:t xml:space="preserve"> The connector defaults to report mode, in which messages are scored and logged but nothing is moved or deleted: python -m spam_detection.imap_watch --action report 7. </w:t>
      </w:r>
      <w:r>
        <w:rPr>
          <w:b/>
        </w:rPr>
        <w:t>Enable automatic filtering</w:t>
      </w:r>
      <w:r>
        <w:t xml:space="preserve"> once the read-only check succeeds: python -m spam_detection.imap_watch --action quarantine --watch</w:t>
      </w:r>
    </w:p>
    <w:p>
      <w:pPr>
        <w:pStyle w:val="Heading3"/>
      </w:pPr>
      <w:r>
        <w:t>5.3.4 Filtering and Review Configuration</w:t>
      </w:r>
    </w:p>
    <w:p>
      <w:r>
        <w:t>The connector's operational settings are summarised in Table 5.4. The server host and port are inferred automatically from the address domain for common providers, so in normal use only the account credentials must be supplied.</w:t>
      </w:r>
    </w:p>
    <w:p>
      <w:r/>
      <w:r>
        <w:rPr>
          <w:b/>
        </w:rPr>
        <w:t>Table 5.4 — Mailbox connection and filtering configuration.</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Purpose</w:t>
            </w:r>
          </w:p>
        </w:tc>
      </w:tr>
      <w:tr>
        <w:tc>
          <w:tcPr>
            <w:tcW w:type="dxa" w:w="2880"/>
          </w:tcPr>
          <w:p>
            <w:r>
              <w:t>Protocol</w:t>
            </w:r>
          </w:p>
        </w:tc>
        <w:tc>
          <w:tcPr>
            <w:tcW w:type="dxa" w:w="2880"/>
          </w:tcPr>
          <w:p>
            <w:r>
              <w:t>IMAP over SSL/TLS (port 993)</w:t>
            </w:r>
          </w:p>
        </w:tc>
        <w:tc>
          <w:tcPr>
            <w:tcW w:type="dxa" w:w="2880"/>
          </w:tcPr>
          <w:p>
            <w:r>
              <w:t>Encrypted retrieval of new mail</w:t>
            </w:r>
          </w:p>
        </w:tc>
      </w:tr>
      <w:tr>
        <w:tc>
          <w:tcPr>
            <w:tcW w:type="dxa" w:w="2880"/>
          </w:tcPr>
          <w:p>
            <w:r>
              <w:t>Server host</w:t>
            </w:r>
          </w:p>
        </w:tc>
        <w:tc>
          <w:tcPr>
            <w:tcW w:type="dxa" w:w="2880"/>
          </w:tcPr>
          <w:p>
            <w:r>
              <w:t>Inferred from the address domain</w:t>
            </w:r>
          </w:p>
        </w:tc>
        <w:tc>
          <w:tcPr>
            <w:tcW w:type="dxa" w:w="2880"/>
          </w:tcPr>
          <w:p>
            <w:r>
              <w:t>Avoids manual server entry for common providers</w:t>
            </w:r>
          </w:p>
        </w:tc>
      </w:tr>
      <w:tr>
        <w:tc>
          <w:tcPr>
            <w:tcW w:type="dxa" w:w="2880"/>
          </w:tcPr>
          <w:p>
            <w:r>
              <w:t>Authentication</w:t>
            </w:r>
          </w:p>
        </w:tc>
        <w:tc>
          <w:tcPr>
            <w:tcW w:type="dxa" w:w="2880"/>
          </w:tcPr>
          <w:p>
            <w:r>
              <w:t>Sixteen-character application password, supplied as an environment variable</w:t>
            </w:r>
          </w:p>
        </w:tc>
        <w:tc>
          <w:tcPr>
            <w:tcW w:type="dxa" w:w="2880"/>
          </w:tcPr>
          <w:p>
            <w:r>
              <w:t>Avoids storing a password in code or configuration files</w:t>
            </w:r>
          </w:p>
        </w:tc>
      </w:tr>
      <w:tr>
        <w:tc>
          <w:tcPr>
            <w:tcW w:type="dxa" w:w="2880"/>
          </w:tcPr>
          <w:p>
            <w:r>
              <w:t>Action mode</w:t>
            </w:r>
          </w:p>
        </w:tc>
        <w:tc>
          <w:tcPr>
            <w:tcW w:type="dxa" w:w="2880"/>
          </w:tcPr>
          <w:p>
            <w:r>
              <w:t>`report` (read-only) or `quarantine`</w:t>
            </w:r>
          </w:p>
        </w:tc>
        <w:tc>
          <w:tcPr>
            <w:tcW w:type="dxa" w:w="2880"/>
          </w:tcPr>
          <w:p>
            <w:r>
              <w:t>Read-only scoring for testing; quarantine for live filtering</w:t>
            </w:r>
          </w:p>
        </w:tc>
      </w:tr>
      <w:tr>
        <w:tc>
          <w:tcPr>
            <w:tcW w:type="dxa" w:w="2880"/>
          </w:tcPr>
          <w:p>
            <w:r>
              <w:t>Quarantine folder</w:t>
            </w:r>
          </w:p>
        </w:tc>
        <w:tc>
          <w:tcPr>
            <w:tcW w:type="dxa" w:w="2880"/>
          </w:tcPr>
          <w:p>
            <w:r>
              <w:t>`Spam_Quarantine`</w:t>
            </w:r>
          </w:p>
        </w:tc>
        <w:tc>
          <w:tcPr>
            <w:tcW w:type="dxa" w:w="2880"/>
          </w:tcPr>
          <w:p>
            <w:r>
              <w:t>Flagged mail is copied there, never deleted</w:t>
            </w:r>
          </w:p>
        </w:tc>
      </w:tr>
      <w:tr>
        <w:tc>
          <w:tcPr>
            <w:tcW w:type="dxa" w:w="2880"/>
          </w:tcPr>
          <w:p>
            <w:r>
              <w:t>Poll interval</w:t>
            </w:r>
          </w:p>
        </w:tc>
        <w:tc>
          <w:tcPr>
            <w:tcW w:type="dxa" w:w="2880"/>
          </w:tcPr>
          <w:p>
            <w:r>
              <w:t>10 seconds</w:t>
            </w:r>
          </w:p>
        </w:tc>
        <w:tc>
          <w:tcPr>
            <w:tcW w:type="dxa" w:w="2880"/>
          </w:tcPr>
          <w:p>
            <w:r>
              <w:t>Frequency at which the inbox is checked for new mail</w:t>
            </w:r>
          </w:p>
        </w:tc>
      </w:tr>
      <w:tr>
        <w:tc>
          <w:tcPr>
            <w:tcW w:type="dxa" w:w="2880"/>
          </w:tcPr>
          <w:p>
            <w:r>
              <w:t>Processed-message state file</w:t>
            </w:r>
          </w:p>
        </w:tc>
        <w:tc>
          <w:tcPr>
            <w:tcW w:type="dxa" w:w="2880"/>
          </w:tcPr>
          <w:p>
            <w:r>
              <w:t>`imap_seen.txt`</w:t>
            </w:r>
          </w:p>
        </w:tc>
        <w:tc>
          <w:tcPr>
            <w:tcW w:type="dxa" w:w="2880"/>
          </w:tcPr>
          <w:p>
            <w:r>
              <w:t>Prevents a message from being scored twice</w:t>
            </w:r>
          </w:p>
        </w:tc>
      </w:tr>
      <w:tr>
        <w:tc>
          <w:tcPr>
            <w:tcW w:type="dxa" w:w="2880"/>
          </w:tcPr>
          <w:p>
            <w:r>
              <w:t>Review queue</w:t>
            </w:r>
          </w:p>
        </w:tc>
        <w:tc>
          <w:tcPr>
            <w:tcW w:type="dxa" w:w="2880"/>
          </w:tcPr>
          <w:p>
            <w:r>
              <w:t>`review_queue.csv`</w:t>
            </w:r>
          </w:p>
        </w:tc>
        <w:tc>
          <w:tcPr>
            <w:tcW w:type="dxa" w:w="2880"/>
          </w:tcPr>
          <w:p>
            <w:r>
              <w:t>Records every decision so a reviewer can correct mistakes</w:t>
            </w:r>
          </w:p>
        </w:tc>
      </w:tr>
      <w:tr>
        <w:tc>
          <w:tcPr>
            <w:tcW w:type="dxa" w:w="2880"/>
          </w:tcPr>
          <w:p>
            <w:r>
              <w:t>Decision threshold</w:t>
            </w:r>
          </w:p>
        </w:tc>
        <w:tc>
          <w:tcPr>
            <w:tcW w:type="dxa" w:w="2880"/>
          </w:tcPr>
          <w:p>
            <w:r>
              <w:t>0.55</w:t>
            </w:r>
          </w:p>
        </w:tc>
        <w:tc>
          <w:tcPr>
            <w:tcW w:type="dxa" w:w="2880"/>
          </w:tcPr>
          <w:p>
            <w:r>
              <w:t>Probability above which a message is treated as spam</w:t>
            </w:r>
          </w:p>
        </w:tc>
      </w:tr>
    </w:tbl>
    <w:p>
      <w:r>
        <w:t>As shown in Table 5.4, the configuration was deliberately conservative: flagged mail is copied into a quarantine folder rather than deleted, the read-only mode allows the filter to be validated before it is allowed to move anything, and every decision is logged so that reviewer corrections can be fed back into the next retraining cycle described in Section 3.4.</w:t>
      </w:r>
    </w:p>
    <w:p>
      <w:pPr>
        <w:pStyle w:val="Heading3"/>
      </w:pPr>
      <w:r>
        <w:t>6b. Sections 5.4.1 to 5.4.5</w:t>
      </w:r>
    </w:p>
    <w:p>
      <w:pPr>
        <w:pStyle w:val="Heading3"/>
      </w:pPr>
      <w:r>
        <w:t>5.4.1 Checking an Email in the Review Console</w:t>
      </w:r>
    </w:p>
    <w:p>
      <w:r>
        <w:t>The review console was the manual entry point to the detector. A reviewer pasted the complete source of an email into the console and submitted it for scoring. The console returned the predicted label, the spam probability, a confidence value and the list of structural signals that fired for that message, so that the verdict could be interpreted rather than merely accepted. Figure 5.2 shows the console after a phishing message was submitted.</w:t>
      </w:r>
    </w:p>
    <w:p>
      <w:r>
        <w:t>[FIGURE 5.2: Browser check-and-review console showing a phishing verdict and fired signals.]</w:t>
      </w:r>
    </w:p>
    <w:p>
      <w:r>
        <w:t>Figure 5.2 shows the console classifying a credential-harvesting message as spam. The probability bar reports the score assigned by the model, and the signal chips beneath it name the structural evidence that contributed to the decision, including the mismatch between the sender domain and the domain of the embedded link and the presence of a reply-to address different from the sender.</w:t>
      </w:r>
    </w:p>
    <w:p>
      <w:pPr>
        <w:pStyle w:val="Heading3"/>
      </w:pPr>
      <w:r>
        <w:t>5.4.2 Service Prediction Response</w:t>
      </w:r>
    </w:p>
    <w:p>
      <w:r>
        <w:t>The same detector was exposed as a local service so that other software could obtain a verdict programmatically rather than through the browser. A client submitted the raw email to the prediction endpoint and received a structured response. Figure 5.3 shows a response returned by the service.</w:t>
      </w:r>
    </w:p>
    <w:p>
      <w:r>
        <w:t>[FIGURE 5.3: Example service prediction response (label, probability and signals).]</w:t>
      </w:r>
    </w:p>
    <w:p>
      <w:r>
        <w:t>Figure 5.3 shows the response for a single message, containing the predicted label, the spam probability, the confidence value and the named structural signals. Returning the signals alongside the verdict allowed a calling system to log why a message was flagged, which was a requirement for the review and appeal process described in Section 4.4.</w:t>
      </w:r>
    </w:p>
    <w:p>
      <w:pPr>
        <w:pStyle w:val="Heading3"/>
      </w:pPr>
      <w:r>
        <w:t>5.4.3 Mailbox Watch and Quarantine</w:t>
      </w:r>
    </w:p>
    <w:p>
      <w:r>
        <w:t>The mailbox watcher applied the detector to a folder of stored messages rather than to a single pasted email. Each message file was parsed, scored and recorded in the review queue; in quarantine mode a flagged message was moved into a separate quarantine folder while legitimate mail was left untouched. Figure 5.4 shows a watch run in progress.</w:t>
      </w:r>
    </w:p>
    <w:p>
      <w:r>
        <w:t>[FIGURE 5.4: Mailbox watch run quarantining a flagged message.]</w:t>
      </w:r>
    </w:p>
    <w:p>
      <w:r>
        <w:t>Figure 5.4 shows the watcher processing a folder containing both legitimate and phishing messages. Each line reports the verdict and the probability for one message, and the flagged messages are reported as moved to the quarantine folder. Nothing was deleted at any point: the quarantine folder retained every flagged message so that a false positive could be recovered.</w:t>
      </w:r>
    </w:p>
    <w:p>
      <w:pPr>
        <w:pStyle w:val="Heading3"/>
      </w:pPr>
      <w:r>
        <w:t>5.4.4 Live Mailbox Filtering over IMAP</w:t>
      </w:r>
    </w:p>
    <w:p>
      <w:r>
        <w:t>To confirm that the connector operated outside a controlled local folder, it was run against a live mailbox hosted by a commercial provider. A disposable account was created for the purpose, application-specific credentials were issued for it, and four test messages were sent to it: one ordinary message and three phishing messages of the credential-harvesting, fraudulent invoice and account-suspension types. The connector authenticated over an encrypted IMAP connection on port 993, retrieved each message in its complete RFC 5322 form and scored it with the same saved model used throughout Chapter 6, with no change to the classifier, its features or its decision threshold.</w:t>
      </w:r>
    </w:p>
    <w:p>
      <w:r>
        <w:t>An unanticipated but instructive observation arose during this run. The provider applied its own filter before delivery and placed all four test messages, including the legitimate one, in its spam folder, so that none of them reached the inbox. The connector was therefore directed at that folder instead, which had the useful effect of turning the exercise into an independent second opinion on messages the provider had already judged. Figure 5.5 records the result.</w:t>
      </w:r>
    </w:p>
    <w:p>
      <w:r>
        <w:t>[FIGURE 5.5: Live IMAP run scoring four messages retrieved from a commercial mailbox, showing three phishing messages flagged and one legitimate message released.]</w:t>
      </w:r>
    </w:p>
    <w:p>
      <w:r>
        <w:t>Figure 5.5 shows that the three phishing messages were assigned spam probabilities of 97.6%, 98.7% and 99.8% and were flagged, whereas the legitimate message received 27.4% and was correctly released. The proposed detector therefore agreed with the provider on the three phishing messages and disagreed on the one legitimate message, which the provider had filtered and the detector had not. This single observation is a demonstration of deployment, not a measurement of comparative accuracy, and no general claim about the relative performance of the two systems is drawn from it; the quantitative results in Chapter 6 rest entirely on the held-out corpus and the external test sets. It does, however, confirm that the detector operates correctly on live network mail.</w:t>
      </w:r>
    </w:p>
    <w:p>
      <w:pPr>
        <w:pStyle w:val="Heading3"/>
      </w:pPr>
      <w:r>
        <w:t>5.4.5 Reviewer Feedback and Retraining</w:t>
      </w:r>
    </w:p>
    <w:p>
      <w:r>
        <w:t>Every message scored by either watcher was written to the review queue, and the console presented those messages to a reviewer for confirmation or correction. For each message the reviewer either confirmed the verdict or recorded the correct label; a verdict entered by mistake could be changed simply by selecting a different one, and only the most recent verdict for a message was retained. Corrections accumulated in the feedback store and did not alter the deployed model until retraining was explicitly requested. Figure 5.6 shows the review inbox.</w:t>
      </w:r>
    </w:p>
    <w:p>
      <w:r>
        <w:t>[FIGURE 5.6: Review inbox showing scored messages with confirm and correct controls, and the retraining control.]</w:t>
      </w:r>
    </w:p>
    <w:p>
      <w:r>
        <w:t>Figure 5.6 shows the queued messages with their verdicts and probabilities, the controls used to confirm or correct each one, and the control that starts a retraining cycle. When retraining was requested, a candidate model was trained on the historical corpus together with the accumulated corrections and was compared with the deployed model on the held-out split; the candidate replaced the deployed model only if it did not reduce ranking quality. This validation gate is discussed further in Section 7.2.</w:t>
      </w:r>
    </w:p>
    <w:p>
      <w:r>
        <w:br w:type="page"/>
      </w:r>
    </w:p>
    <w:p>
      <w:pPr>
        <w:pStyle w:val="Heading2"/>
      </w:pPr>
      <w:r>
        <w:t>After pasting</w:t>
      </w:r>
    </w:p>
    <w:p>
      <w:r>
        <w:t>1. Re-run the figure generator so Figures 6.2, 6.3 and 6.4 match the corrected numbers:</w:t>
      </w:r>
    </w:p>
    <w:p>
      <w:r>
        <w:t>python reports\make_result_figures.py — then check reports/figures/fig6_4.png no longer reads "20% to 85%".</w:t>
      </w:r>
    </w:p>
    <w:p>
      <w:r>
        <w:t>2. Capture Figure 5.6 (review inbox with confirm / correct / retrain controls).</w:t>
      </w:r>
    </w:p>
    <w:p>
      <w:r>
        <w:t>3. Update the List of Figures: there are now 23 figures, with Figure 5.6 added.</w:t>
      </w:r>
    </w:p>
    <w:p>
      <w:r>
        <w:t>4. Update the Table of Contents (right-click, Update Field, Update entire table).</w:t>
      </w:r>
    </w:p>
    <w:p>
      <w:r>
        <w:t>5. Remove all yellow highlighting from the Copyright Statement and the Abstract.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