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substantial fraction of global email traffic, ranging from nuisance advertisements to</w:t>
      </w:r>
    </w:p>
    <w:p>
      <w:r>
        <w:t>sophisticated phishing campaigns designed to steal credentials or financial data or to</w:t>
      </w:r>
    </w:p>
    <w:p>
      <w:r>
        <w:t>distribute malware [2].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obfuscation. Learned content models</w:t>
      </w:r>
    </w:p>
    <w:p>
      <w:r>
        <w:t>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accounts.</w:t>
      </w:r>
    </w:p>
    <w:p>
      <w:r>
        <w:t>Models that were never updated could not follow evolving campaigns, so their accuracy degraded</w:t>
      </w:r>
    </w:p>
    <w:p>
      <w:r>
        <w:t>as concept drift accumulated.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carried forward the proposal established in</w:t>
      </w:r>
    </w:p>
    <w:p>
      <w:r>
        <w:t>Project I — an adaptive content–metadata fusion spam-detection framework — and implemented and</w:t>
      </w:r>
    </w:p>
    <w:p>
      <w:r>
        <w:t>evaluated it as a complete, deployable system. Project I established feasibility on a smaller</w:t>
      </w:r>
    </w:p>
    <w:p>
      <w:r>
        <w:t>corpus; Project II scaled the pipeline to a larger and more varied public corpus, hardened the</w:t>
      </w:r>
    </w:p>
    <w:p>
      <w:r>
        <w:t>implementation against malformed real-world input, added a service and quarantine layer, built</w:t>
      </w:r>
    </w:p>
    <w:p>
      <w:r>
        <w:t>the reviewed retraining loop end to end, and tested generalisation against genuinely</w:t>
      </w:r>
    </w:p>
    <w:p>
      <w:r>
        <w:t>AI-generated phishing. The relationship between the two phases was one of realisation and</w:t>
      </w:r>
    </w:p>
    <w:p>
      <w:r>
        <w:t>validation rather than redirection: the same four objectives defined in the proposal drove the</w:t>
      </w:r>
    </w:p>
    <w:p>
      <w:r>
        <w:t>implementation, and the results reported in Chapter 6 measured the extent to which each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objectives, carried forward unchanged from Project I: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objectives carried forward from Project I,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was consistent with the lightweight, script-based approach proposed in Project I,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 evaluated</w:t>
      </w:r>
    </w:p>
    <w:p>
      <w:r>
        <w:t>during Project I.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In the preliminary ablation conducted during Project I,</w:t>
      </w:r>
    </w:p>
    <w:p>
      <w:r>
        <w:t>a metadata-only configuration reached approximately 93.2% accuracy with an F1 score of 83.6% —</w:t>
      </w:r>
    </w:p>
    <w:p>
      <w:r>
        <w:t>meaningful, but well below content-based methods — confirming that metadata was valuable but</w:t>
      </w:r>
    </w:p>
    <w:p>
      <w:r>
        <w:t>insufficient on its own and had to be combined with content. Reputation systems were also evaded</w:t>
      </w:r>
    </w:p>
    <w:p>
      <w:r>
        <w:t>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Project I preliminary ablation similarly found that the content-plus-metadata fusion</w:t>
      </w:r>
    </w:p>
    <w:p>
      <w:r>
        <w:t>configuration delivered the most balanced precision–recall trade-off and the best coverage</w:t>
      </w:r>
    </w:p>
    <w:p>
      <w:r>
        <w:t>of spam, even though a strong text-only support-vector-machine baseline was hard to beat with</w:t>
      </w:r>
    </w:p>
    <w:p>
      <w:r>
        <w:t>simple concatenation — a finding that motivated the richer word-plus-character content</w:t>
      </w:r>
    </w:p>
    <w:p>
      <w:r>
        <w:t>representation and the standardised metadata used in Project II. The fusion concept adopted by</w:t>
      </w:r>
    </w:p>
    <w:p>
      <w:r>
        <w:t>the present project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 alone (~93% in preliminary work);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 alone (~93% in preliminary work);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The system was developed and evaluated on a consumer laptop with an Intel-class central</w:t>
      </w:r>
    </w:p>
    <w:p>
      <w:r>
        <w:t>processing unit, integrated Intel UHD graphics and no discrete graphics processing unit. No</w:t>
      </w:r>
    </w:p>
    <w:p>
      <w:r>
        <w:t>specialised hardware was required; the detector ran entirely on the central processing unit.</w:t>
      </w:r>
    </w:p>
    <w:p>
      <w:r>
        <w:t>Table 5.1 summarises the environment.</w:t>
      </w:r>
    </w:p>
    <w:p>
      <w:pPr>
        <w:spacing w:before="80" w:after="160"/>
        <w:jc w:val="center"/>
      </w:pPr>
      <w:r>
        <w:rPr>
          <w:b/>
          <w:sz w:val="22"/>
        </w:rPr>
        <w:t>Table 5.1 — Development hardware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Item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 (also validated on Linux)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Intel-class CPU, no discrete GPU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3.11+ virtual environment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libraries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1.4+, Joblib, FastAPI, Uvicorn, Pydantic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Local CSV files; Joblib-serialised model</w:t>
            </w:r>
          </w:p>
        </w:tc>
      </w:tr>
    </w:tbl>
    <w:p/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objectives carried forward from</w:t>
      </w:r>
    </w:p>
    <w:p>
      <w:r>
        <w:t>Project I.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