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physical hardware used to develop, train and evaluate the</w:t>
      </w:r>
    </w:p>
    <w:p>
      <w:r>
        <w:t>spam-detection system. A deliberate design objective was that the detector should run on</w:t>
      </w:r>
    </w:p>
    <w:p>
      <w:r>
        <w:t>ordinary, inexpensive hardware rather than on specialised accelerators. Because the system</w:t>
      </w:r>
    </w:p>
    <w:p>
      <w:r>
        <w:t>used classical machine-learning models — logistic regression and support-vector machines over</w:t>
      </w:r>
    </w:p>
    <w:p>
      <w:r>
        <w:t>TF-IDF features — instead of deep neural networks, all training, evaluation and inference were</w:t>
      </w:r>
    </w:p>
    <w:p>
      <w:r>
        <w:t>performed on the central processing unit, and no discrete graphics processing unit was</w:t>
      </w:r>
    </w:p>
    <w:p>
      <w:r>
        <w:t>required. This contrasted with deep-learning spam detectors, whose training and inference</w:t>
      </w:r>
    </w:p>
    <w:p>
      <w:r>
        <w:t>typically demand a graphics processor, and it supported the project goal of a system that</w:t>
      </w:r>
    </w:p>
    <w:p>
      <w:r>
        <w:t>could be reproduced on a consumer laptop and deployed on modest on-premises or edge mail</w:t>
      </w:r>
    </w:p>
    <w:p>
      <w:r>
        <w:t>infrastructure. The specifications 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exact CPU model, e.g. Intel Core i5-1135G7] — central processing unit only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(workflow 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Integrated graphics; no discrete GPU (not required)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installed RAM, e.g. 16 GB DDR4]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disk capacity, e.g. 512 GB SSD]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[FILL IN: processor] processor with [FILL IN: RAM] of memory and [FILL IN: disk] storage,</w:t>
      </w:r>
    </w:p>
    <w:p>
      <w:r>
        <w:t>running Windows 11. The machine had integrated graphics and no discrete graphics processing</w:t>
      </w:r>
    </w:p>
    <w:p>
      <w:r>
        <w:t>unit, which was fully sufficient because the classical models trained and served predictions</w:t>
      </w:r>
    </w:p>
    <w:p>
      <w:r>
        <w:t>entirely on the central processing unit: training on the full corpus completed within minutes,</w:t>
      </w:r>
    </w:p>
    <w:p>
      <w:r>
        <w:t>and the median inference latency was approximately 16 milliseconds per email, as reported in</w:t>
      </w:r>
    </w:p>
    <w:p>
      <w:r>
        <w:t>Chapter 6. The complete workflow was additionally validated on a Linux environment to confirm</w:t>
      </w:r>
    </w:p>
    <w:p>
      <w:r>
        <w:t>that it did not depend on a single platform.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