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1.1 Spam as a share of worldwide email traffic in 2024 (Kaspersky Securelist).</w:t>
      </w:r>
    </w:p>
    <w:p>
      <w:r>
        <w:t>- Figure 1.2 Phishing attacks recorded per quarter in 2024 (Anti-Phishing Working Group).</w:t>
      </w:r>
    </w:p>
    <w:p>
      <w:r>
        <w:t>- Figure 1.3 Key email-security threat statistics summary.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service prediction response (label, probability and signals).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Specifications of the development machine.</w:t>
      </w:r>
    </w:p>
    <w:p>
      <w:r>
        <w:t>- Table 5.2 Software and libraries used in the project.</w:t>
      </w:r>
    </w:p>
    <w:p>
      <w:r>
        <w:t>- Table 5.3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large share of global email traffic — Kaspersky measured spam at roughly 47 per cent of all</w:t>
      </w:r>
    </w:p>
    <w:p>
      <w:r>
        <w:t>email sent worldwide in 2024 [18] — and ranged from nuisance advertisements to sophisticated</w:t>
      </w:r>
    </w:p>
    <w:p>
      <w:r>
        <w:t>phishing campaigns designed to steal credentials or financial data or to distribute malware</w:t>
      </w:r>
    </w:p>
    <w:p>
      <w:r>
        <w:t>[2]. The scale of the problem is illustrated in Figure 1.1.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6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1_spam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1.1 — Spam as a share of worldwide email traffic in 2024 (Kaspersky Securelist [18])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These link-less impersonation</w:t>
      </w:r>
    </w:p>
    <w:p>
      <w:r>
        <w:t>attacks were also among the costliest of cybercrimes: the Federal Bureau of Investigation</w:t>
      </w:r>
    </w:p>
    <w:p>
      <w:r>
        <w:t>recorded business-email-compromise losses of USD 2.77 billion across 21,442 complaints in 2024</w:t>
      </w:r>
    </w:p>
    <w:p>
      <w:r>
        <w:t>[19], and the Anti-Phishing Working Group recorded close to 3.8 million phishing attacks over</w:t>
      </w:r>
    </w:p>
    <w:p>
      <w:r>
        <w:t>the same year [20], as shown in Figure 1.2.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06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_phishing_atta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1.2 — Phishing attacks recorded per quarter in 2024 (Anti-Phishing Working Group [20])</w:t>
      </w:r>
    </w:p>
    <w:p>
      <w:r>
        <w:t>Such threats also acted faster than manual review could: the 2024 Verizon study found that the</w:t>
      </w:r>
    </w:p>
    <w:p>
      <w:r>
        <w:t>median time for a user to click a phishing link was 21 seconds and that a non-malicious human</w:t>
      </w:r>
    </w:p>
    <w:p>
      <w:r>
        <w:t>element was involved in 68% of breaches [2], reinforcing the case for automatic detection. The</w:t>
      </w:r>
    </w:p>
    <w:p>
      <w:r>
        <w:t>key threat statistics are summarised in Figure 1.3.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656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3_threat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1.3 — Summary of key email-security threat statistics from recent official reports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 [4], [5]. Learned content</w:t>
      </w:r>
    </w:p>
    <w:p>
      <w:r>
        <w:t>models 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</w:t>
      </w:r>
    </w:p>
    <w:p>
      <w:r>
        <w:t>[19]. Models that were never updated could not follow evolving campaigns, so their accuracy</w:t>
      </w:r>
    </w:p>
    <w:p>
      <w:r>
        <w:t>degraded as concept drift accumulated [4], [5].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therefore designed, implemented and evaluated a</w:t>
      </w:r>
    </w:p>
    <w:p>
      <w:r>
        <w:t>complete, deployable adaptive content–metadata fusion spam-detection system: the pipeline was</w:t>
      </w:r>
    </w:p>
    <w:p>
      <w:r>
        <w:t>built at scale on a varied public corpus, hardened against malformed real-world input, wrapped</w:t>
      </w:r>
    </w:p>
    <w:p>
      <w:r>
        <w:t>in a service and quarantine layer, equipped with a reviewed retraining loop, and tested for</w:t>
      </w:r>
    </w:p>
    <w:p>
      <w:r>
        <w:t>generalisation against genuinely AI-generated phishing. The remainder of this report describes</w:t>
      </w:r>
    </w:p>
    <w:p>
      <w:r>
        <w:t>that system and measures the extent to which each stated objective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project objectives,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Python and were developed and tested on Windows 11.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followed the lightweight, script-based design of the system,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spectrum, with Naïve</w:t>
      </w:r>
    </w:p>
    <w:p>
      <w:r>
        <w:t>Bayes a generative baseline and the support vector machine a maximum-margin discriminative one.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Structural and sender-based signals were valuable but</w:t>
      </w:r>
    </w:p>
    <w:p>
      <w:r>
        <w:t>generally weaker than well-trained content models on their own, confirming that metadata was</w:t>
      </w:r>
    </w:p>
    <w:p>
      <w:r>
        <w:t>complementary rather than sufficient and was most effective when combined with content</w:t>
      </w:r>
    </w:p>
    <w:p>
      <w:r>
        <w:t>[4], [5].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Studies of combined feature sets similarly reported that content-plus-metadata fusion</w:t>
      </w:r>
    </w:p>
    <w:p>
      <w:r>
        <w:t>delivered a more balanced precision–recall trade-off and better coverage than either source</w:t>
      </w:r>
    </w:p>
    <w:p>
      <w:r>
        <w:t>alone, although a strong text-only support-vector-machine baseline could be hard to improve on</w:t>
      </w:r>
    </w:p>
    <w:p>
      <w:r>
        <w:t>with simple concatenation [9]. This motivated the richer word-plus-character content</w:t>
      </w:r>
    </w:p>
    <w:p>
      <w:r>
        <w:t>representation and the standardised metadata used in the present system. The fusion concept</w:t>
      </w:r>
    </w:p>
    <w:p>
      <w:r>
        <w:t>adopted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Python virtual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review console, submitted to the prediction service,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the labelled feedback store.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converted into numerical</w:t>
      </w:r>
    </w:p>
    <w:p>
      <w:r>
        <w:t>features using term frequency–inverse document frequency (TF-IDF). In plain terms, TF-IDF gave</w:t>
      </w:r>
    </w:p>
    <w:p>
      <w:r>
        <w:t>each word a high score when it appeared often in a particular email but rarely across all</w:t>
      </w:r>
    </w:p>
    <w:p>
      <w:r>
        <w:t>emails, so distinctive spam vocabulary stood out while common words such as "the" or "and"</w:t>
      </w:r>
    </w:p>
    <w:p>
      <w:r>
        <w:t>were down-weighted. The text was vectorised with TF-IDF over word unigrams/bigrams (up to</w:t>
      </w:r>
    </w:p>
    <w:p>
      <w:r>
        <w:t>40,000 terms) and over character n-grams of length three to five (up to 30,000 features), using</w:t>
      </w:r>
    </w:p>
    <w:p>
      <w:r>
        <w:t>sub-linear term-frequency scaling. The word stream captured phrasing while the character stream</w:t>
      </w:r>
    </w:p>
    <w:p>
      <w:r>
        <w:t>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These terms were defined as follows. A true positive (TP) was a spam message correctly</w:t>
      </w:r>
    </w:p>
    <w:p>
      <w:r>
        <w:t>caught; a false negative (FN) was spam that reached the user; a false positive (FP) was a</w:t>
      </w:r>
    </w:p>
    <w:p>
      <w:r>
        <w:t>legitimate message wrongly marked as spam; and a true negative (TN) was legitimate mail</w:t>
      </w:r>
    </w:p>
    <w:p>
      <w:r>
        <w:t>correctly allowed through. Accuracy was the overall fraction of messages classified correctly;</w:t>
      </w:r>
    </w:p>
    <w:p>
      <w:r>
        <w:t>precision was the fraction of flagged messages that were truly spam (so a high precision meant</w:t>
      </w:r>
    </w:p>
    <w:p>
      <w:r>
        <w:t>few legitimate emails were blocked); recall was the fraction of real spam that was caught (so a</w:t>
      </w:r>
    </w:p>
    <w:p>
      <w:r>
        <w:t>high recall meant little spam slipped through); and the F1 score was the harmonic mean of</w:t>
      </w:r>
    </w:p>
    <w:p>
      <w:r>
        <w:t>precision and recall, summarising the balance between them. Formally, precision was</w:t>
      </w:r>
    </w:p>
    <w:p>
      <w:r>
        <w:t>TP/(TP+FP), recall was TP/(TP+FN), and the F1 score was their harmonic mean. A threshold sweep</w:t>
      </w:r>
    </w:p>
    <w:p>
      <w:r>
        <w:t>reported phishing recall at a low (≤5%) false-positive 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request to the detection service,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module within the detector</w:t>
      </w:r>
    </w:p>
    <w:p>
      <w:r>
        <w:t>package, which allowed individual stages to be updated and retrained without rebuilding the</w:t>
      </w:r>
    </w:p>
    <w:p>
      <w:r>
        <w:t>whole pipeline. The following section specifies each block in turn.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The five blocks of Figure 4.1 were realised as eight functional components, summarised in</w:t>
      </w:r>
    </w:p>
    <w:p>
      <w:r>
        <w:t>Table 4.1 and then described in detail in Sections 4.2.1 to 4.2.5. Each component was kept</w:t>
      </w:r>
    </w:p>
    <w:p>
      <w:r>
        <w:t>independent so that it could be modified or replaced without affecting the others.</w:t>
      </w:r>
    </w:p>
    <w:p>
      <w:pPr>
        <w:spacing w:before="80" w:after="160"/>
        <w:jc w:val="center"/>
      </w:pPr>
      <w:r>
        <w:rPr>
          <w:b/>
          <w:sz w:val="22"/>
        </w:rPr>
        <w:t>Table 4.1 — System components and their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Block (Figure 4.1)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Email parsing and feature extraction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Parsing and feature extraction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Parsed each message and produced the content text together with the twelve structural metadata signals.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Data preparation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Ingestion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and de-duplicated the public corpora into one reviewed dataset.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classification engine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classifier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Combined content and metadata features and produced the label, probability and fired signals.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Detection service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Action and decision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Exposed the trained engine through a web interface with a review console.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Mailbox scanner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Action and decision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Monitored a mail folder and quarantined flagged messages.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 and feedback store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Adaptation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Recorded reviewer corrections as labelled examples for retraining.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Training and evaluation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classifier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Fitted, validated and saved the model, and reported the metrics.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(AI-mail) evaluation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classifier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Scored external and AI-generated sets and reported catch rate.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4.2.1 Data Ingestion and Preparation</w:t>
      </w:r>
    </w:p>
    <w:p>
      <w:r>
        <w:t>The input to the system was an electronic-mail message, which could arrive in three ways:</w:t>
      </w:r>
    </w:p>
    <w:p>
      <w:r>
        <w:t>pasted into the review console, submitted to the detection service, or present as a file in a</w:t>
      </w:r>
    </w:p>
    <w:p>
      <w:r>
        <w:t>monitored mailbox folder. Before training, a data-preparation stage combined the several public</w:t>
      </w:r>
    </w:p>
    <w:p>
      <w:r>
        <w:t>source corpora into a single reviewed dataset. Because the same message sometimes appeared in</w:t>
      </w:r>
    </w:p>
    <w:p>
      <w:r>
        <w:t>more than one source corpus, the preparation stage de-duplicated the records on the normalised</w:t>
      </w:r>
    </w:p>
    <w:p>
      <w:r>
        <w:t>message content so that no email could appear in both the training and the held-out split; such</w:t>
      </w:r>
    </w:p>
    <w:p>
      <w:r>
        <w:t>leakage would otherwise have inflated the reported metrics. The stage also tolerated the</w:t>
      </w:r>
    </w:p>
    <w:p>
      <w:r>
        <w:t>practical inconsistencies of public data by handling several text encodings, raising the limit</w:t>
      </w:r>
    </w:p>
    <w:p>
      <w:r>
        <w:t>on very long email bodies, and accepting the different label conventions used by each source.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4.2.2 Email Parsing and Feature Extraction</w:t>
      </w:r>
    </w:p>
    <w:p>
      <w:r>
        <w:t>Each message was parsed according to the standard Internet message format (RFC 5322) to</w:t>
      </w:r>
    </w:p>
    <w:p>
      <w:r>
        <w:t>separate the headers, the subject, the body and any attachments. Parsing was deliberately</w:t>
      </w:r>
    </w:p>
    <w:p>
      <w:r>
        <w:t>defensive: malformed links were handled without aborting, and a message that was plain text</w:t>
      </w:r>
    </w:p>
    <w:p>
      <w:r>
        <w:t>with no headers (as in the body-only AI-generated test sets) was still accepted, with the</w:t>
      </w:r>
    </w:p>
    <w:p>
      <w:r>
        <w:t>header-derived signals set to neutral values so that the feature structure was preserved. From</w:t>
      </w:r>
    </w:p>
    <w:p>
      <w:r>
        <w:t>the parsed message the extractor produced two outputs: the textual content (subject and body</w:t>
      </w:r>
    </w:p>
    <w:p>
      <w:r>
        <w:t>concatenated) for the content features, and a set of twelve structural metadata signals</w:t>
      </w:r>
    </w:p>
    <w:p>
      <w:r>
        <w:t>described in Section 4.3.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4.2.3 Fusion Classification Engine</w:t>
      </w:r>
    </w:p>
    <w:p>
      <w:r>
        <w:t>The classification engine was the core of the system and is specified in full in Table 5.3. It</w:t>
      </w:r>
    </w:p>
    <w:p>
      <w:r>
        <w:t>joined three feature branches into one sparse vector. Two branches described the text using</w:t>
      </w:r>
    </w:p>
    <w:p>
      <w:r>
        <w:t>term frequency–inverse document frequency: a word branch over one- and two-word terms (capped at</w:t>
      </w:r>
    </w:p>
    <w:p>
      <w:r>
        <w:t>40,000 features) that captured phrasing, and a character branch over three- to five-character</w:t>
      </w:r>
    </w:p>
    <w:p>
      <w:r>
        <w:t>sequences (capped at 30,000 features) that tolerated obfuscation such as inserted symbols. The</w:t>
      </w:r>
    </w:p>
    <w:p>
      <w:r>
        <w:t>third branch encoded the twelve metadata signals and scaled them so that their magnitudes did</w:t>
      </w:r>
    </w:p>
    <w:p>
      <w:r>
        <w:t>not overwhelm the text features. The scaled, combined vector was passed to a class-balanced</w:t>
      </w:r>
    </w:p>
    <w:p>
      <w:r>
        <w:t>logistic-regression classifier (regularisation strength C = 1.5), which output a spam</w:t>
      </w:r>
    </w:p>
    <w:p>
      <w:r>
        <w:t>probability; multinomial Naïve Bayes and a linear support-vector machine were also implemented</w:t>
      </w:r>
    </w:p>
    <w:p>
      <w:r>
        <w:t>and evaluated for comparison. A configurable decision threshold (0.55 by default) converted the</w:t>
      </w:r>
    </w:p>
    <w:p>
      <w:r>
        <w:t>probability into a spam-or-legitimate label, and the metadata signals that contributed most to</w:t>
      </w:r>
    </w:p>
    <w:p>
      <w:r>
        <w:t>a positive decision were returned as an explanation.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4.2.4 Detection Service and Mailbox Scanner</w:t>
      </w:r>
    </w:p>
    <w:p>
      <w:r>
        <w:t>The trained engine was exposed in two ways. The detection service provided a web interface with</w:t>
      </w:r>
    </w:p>
    <w:p>
      <w:r>
        <w:t>a health check, a prediction endpoint and a feedback endpoint, together with a browser console</w:t>
      </w:r>
    </w:p>
    <w:p>
      <w:r>
        <w:t>in which a reviewer could paste an email, immediately see its label, probability and fired</w:t>
      </w:r>
    </w:p>
    <w:p>
      <w:r>
        <w:t>signals, and confirm or correct the decision. The mailbox scanner instead monitored a folder on</w:t>
      </w:r>
    </w:p>
    <w:p>
      <w:r>
        <w:t>disk and operated in one of three modes: report only (log decisions), quarantine (move flagged</w:t>
      </w:r>
    </w:p>
    <w:p>
      <w:r>
        <w:t>messages to a quarantine folder), or continuous watch (act on new mail as it arrived). Every</w:t>
      </w:r>
    </w:p>
    <w:p>
      <w:r>
        <w:t>decision, whether from the service or the scanner, was written to a review queue with a blank</w:t>
      </w:r>
    </w:p>
    <w:p>
      <w:r>
        <w:t>correction field awaiting human review.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4.2.5 Review, Feedback and Adaptive Retraining</w:t>
      </w:r>
    </w:p>
    <w:p>
      <w:r>
        <w:t>The adaptation block closed the learning loop. When a reviewer corrected a decision in the</w:t>
      </w:r>
    </w:p>
    <w:p>
      <w:r>
        <w:t>console, the correction was saved as a labelled example in the feedback store. A scheduled</w:t>
      </w:r>
    </w:p>
    <w:p>
      <w:r>
        <w:t>retraining stage merged these reviewed labels with the original training data, fitted a new</w:t>
      </w:r>
    </w:p>
    <w:p>
      <w:r>
        <w:t>model, and validated it on the held-out split; the new model replaced the deployed one only if</w:t>
      </w:r>
    </w:p>
    <w:p>
      <w:r>
        <w:t>it maintained accuracy on the main corpus while improving performance on the target threat.</w:t>
      </w:r>
    </w:p>
    <w:p>
      <w:r>
        <w:t>This validation gate prevented a small batch of feedback from degrading the detector, and it</w:t>
      </w:r>
    </w:p>
    <w:p>
      <w:r>
        <w:t>distinguished the system from both a static model and an uncontrolled online-learning loop.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Length of the body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links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Count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Distinct link domains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different domains linked; many distinct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Count of attached files.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has a domain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Sender–link domain mismatch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sender's domain was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Reply-To present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(a possible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SPF authentication result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sender-policy-framework pass was indicated in the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DKIM signature present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DomainKeys-Identified-Mail signature header was present.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Capitals ratio in subject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 line.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Urgency markers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Count of exclamation marks and of urgent/verification terms.</w:t>
            </w:r>
          </w:p>
        </w:tc>
      </w:tr>
    </w:tbl>
    <w:p/>
    <w:p>
      <w:r>
        <w:t>The subject and body were concatenated into a single content string so that both parts were</w:t>
      </w:r>
    </w:p>
    <w:p>
      <w:r>
        <w:t>represented in the text features. For plain-text inputs without headers (such as the body-only</w:t>
      </w:r>
    </w:p>
    <w:p>
      <w:r>
        <w:t>external sets), the parser treated the whole input as the body and set the header-derived</w:t>
      </w:r>
    </w:p>
    <w:p>
      <w:r>
        <w:t>signals to neutral values, preserving the feature-vector structure. Once trained, the model was</w:t>
      </w:r>
    </w:p>
    <w:p>
      <w:r>
        <w:t>saved to a single file so that the service and the mailbox watcher loaded an identical</w:t>
      </w:r>
    </w:p>
    <w:p>
      <w:r>
        <w:t>predictor. Keeping the metadata to twelve signals deliberately avoided a large, fragile</w:t>
      </w:r>
    </w:p>
    <w:p>
      <w:r>
        <w:t>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were written to the labelled feedback store;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model only if performance was maintained. All</w:t>
      </w:r>
    </w:p>
    <w:p>
      <w:r>
        <w:t>randomness used fixed seeds for reproducibility, and the data-preparation, training and</w:t>
      </w:r>
    </w:p>
    <w:p>
      <w:r>
        <w:t>evaluation stages were each implemented as a single repeatable procedure, so that the entire</w:t>
      </w:r>
    </w:p>
    <w:p>
      <w:r>
        <w:t>system could be rebuilt from the public corpus by following Sections 4.2 and 4.3.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r>
        <w:t>This chapter explains how the design presented in Chapter 4 was implemented and operated. It</w:t>
      </w:r>
    </w:p>
    <w:p>
      <w:r>
        <w:t>describes the hardware used, the software environment and the role of each library, the</w:t>
      </w:r>
    </w:p>
    <w:p>
      <w:r>
        <w:t>configuration settings of the deployed model, and the commands used to train, evaluate and run</w:t>
      </w:r>
    </w:p>
    <w:p>
      <w:r>
        <w:t>the system, before discussing the implementation issues encountered and how they were resolved.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This section outlines the hardware used to develop, train and evaluate the spam-detection</w:t>
      </w:r>
    </w:p>
    <w:p>
      <w:r>
        <w:t>system. Because the detector used classical machine-learning models rather than deep neural</w:t>
      </w:r>
    </w:p>
    <w:p>
      <w:r>
        <w:t>networks, it trained and ran entirely on the central processing unit and needed no graphics</w:t>
      </w:r>
    </w:p>
    <w:p>
      <w:r>
        <w:t>processing unit, so it could be reproduced on an ordinary consumer laptop. The specifications</w:t>
      </w:r>
    </w:p>
    <w:p>
      <w:r>
        <w:t>of the development machine are summarised in Table 5.1.</w:t>
      </w:r>
    </w:p>
    <w:p>
      <w:pPr>
        <w:spacing w:before="80" w:after="160"/>
        <w:jc w:val="center"/>
      </w:pPr>
      <w:r>
        <w:rPr>
          <w:b/>
          <w:sz w:val="22"/>
        </w:rPr>
        <w:t>Table 5.1 — Specifications of the development machine.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Model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laptop brand and model, e.g. Acer Aspire 5 A514]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Core i5-13420H (central processing unit only)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Graphic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UHD Graphics (integrated; no discrete GPU)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Memory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24 GB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475 GB SSD</w:t>
            </w:r>
          </w:p>
        </w:tc>
      </w:tr>
    </w:tbl>
    <w:p/>
    <w:p>
      <w:r>
        <w:t>Based on Table 5.1, the development and evaluation machine was a consumer laptop powered by an</w:t>
      </w:r>
    </w:p>
    <w:p>
      <w:r>
        <w:t>Intel Core i5-13420H processor with 24 GB of memory and 475 GB solid-state storage, running</w:t>
      </w:r>
    </w:p>
    <w:p>
      <w:r>
        <w:t>Windows 11. The machine used integrated Intel UHD graphics and had no discrete graphics</w:t>
      </w:r>
    </w:p>
    <w:p>
      <w:r>
        <w:t>processing unit, which was fully sufficient because the classical models trained and served</w:t>
      </w:r>
    </w:p>
    <w:p>
      <w:r>
        <w:t>predictions entirely on the central processing unit: training on the full corpus completed</w:t>
      </w:r>
    </w:p>
    <w:p>
      <w:r>
        <w:t>within minutes, and the median inference latency was approximately 16 milliseconds per email,</w:t>
      </w:r>
    </w:p>
    <w:p>
      <w:r>
        <w:t>as reported in Chapter 6.</w:t>
      </w:r>
    </w:p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The system was implemented entirely in Python using a dedicated virtual environment. The</w:t>
      </w:r>
    </w:p>
    <w:p>
      <w:r>
        <w:t>libraries used by the project, together with their version numbers, were recorded in a</w:t>
      </w:r>
    </w:p>
    <w:p>
      <w:r>
        <w:t>requirements text file (requirements.txt) so that the same software environment could be</w:t>
      </w:r>
    </w:p>
    <w:p>
      <w:r>
        <w:t>recreated on another machine, and these dependencies were installed into the virtual</w:t>
      </w:r>
    </w:p>
    <w:p>
      <w:r>
        <w:t>environment. Only mature, widely used open-source libraries were chosen so that the project</w:t>
      </w:r>
    </w:p>
    <w:p>
      <w:r>
        <w:t>could be understood and reproduced without proprietary software. The software stack and the</w:t>
      </w:r>
    </w:p>
    <w:p>
      <w:r>
        <w:t>role of each component are summarised in Table 5.2.</w:t>
      </w:r>
    </w:p>
    <w:p>
      <w:pPr>
        <w:spacing w:before="80" w:after="160"/>
        <w:jc w:val="center"/>
      </w:pPr>
      <w:r>
        <w:rPr>
          <w:b/>
          <w:sz w:val="22"/>
        </w:rPr>
        <w:t>Table 5.2 — Software and libraries used in the project.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Software / library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Purpose in the project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Python 3.11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Programming language for all scripts and the detection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scikit-learn 1.4+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Core machine-learning library: TF-IDF vectorisation, Naive Bayes, logistic regression, support-vector machine, feature scaling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NumPy (bundled with scikit-learn)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Numerical array and matrix operations used alongside scikit-learn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Joblib 1.3+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Serialising (saving) the trained model and loading it for prediction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0.110+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Web framework that exposes the detector as a representational-state-transfer (REST)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Uvicorn 0.27+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Server that runs the FastAPI service and accepts prediction requests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Pydantic 2.0+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Validates the data received in each request to the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Matplotlib 3.7+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Generates the result charts and figures used in Chapter 6</w:t>
            </w:r>
          </w:p>
        </w:tc>
      </w:tr>
    </w:tbl>
    <w:p/>
    <w:p>
      <w:r>
        <w:t>The version numbers in Table 5.2 matched the minimum versions recorded in the requirements</w:t>
      </w:r>
    </w:p>
    <w:p>
      <w:r>
        <w:t>file, so the environment could be recreated exactly. The python-docx library (1.1+) was used</w:t>
      </w:r>
    </w:p>
    <w:p>
      <w:r>
        <w:t>only to generate this report document and was not part of the detection system.</w:t>
      </w:r>
    </w:p>
    <w:p>
      <w:r>
        <w:t>Based on Table 5.2, scikit-learn provided every machine-learning component, so no separate</w:t>
      </w:r>
    </w:p>
    <w:p>
      <w:r>
        <w:t>deep-learning framework was needed, which kept the installation light and the training fast on</w:t>
      </w:r>
    </w:p>
    <w:p>
      <w:r>
        <w:t>the central processing unit. The public corpus was prepared with a dataset-preparation script</w:t>
      </w:r>
    </w:p>
    <w:p>
      <w:r>
        <w:t>that merged the source comma-separated-value files, raised the field-size limit for long email</w:t>
      </w:r>
    </w:p>
    <w:p>
      <w:r>
        <w:t>bodies, handled multiple encodings and label formats, and de-duplicated the records.</w:t>
      </w:r>
    </w:p>
    <w:p>
      <w:r>
        <w:t>De-duplication was performed on normalised message content so that identical emails repeated</w:t>
      </w:r>
    </w:p>
    <w:p>
      <w:r>
        <w:t>across the merged corpora were counted once; this prevented the same message from appearing in</w:t>
      </w:r>
    </w:p>
    <w:p>
      <w:r>
        <w:t>both the training and the held-out split, which would otherwise have inflated the reported</w:t>
      </w:r>
    </w:p>
    <w:p>
      <w:r>
        <w:t>metrics. Training on the full corpus completed within minutes, and the resulting model file was</w:t>
      </w:r>
    </w:p>
    <w:p>
      <w:r>
        <w:t>small enough to be loaded instantly by the 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5.3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5.3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system was operated through four stages. First, the public corpus was merged and</w:t>
      </w:r>
    </w:p>
    <w:p>
      <w:r>
        <w:t>de-duplicated into a single reviewed dataset, as described in Section 5.2. Second, the fusion</w:t>
      </w:r>
    </w:p>
    <w:p>
      <w:r>
        <w:t>model was trained on the training split and evaluated on the held-out split, after which the</w:t>
      </w:r>
    </w:p>
    <w:p>
      <w:r>
        <w:t>trained model was saved for deployment. Third, the external and AI-generated message sets were</w:t>
      </w:r>
    </w:p>
    <w:p>
      <w:r>
        <w:t>scored to measure generalisation to modern threats. Fourth, the detection service and the</w:t>
      </w:r>
    </w:p>
    <w:p>
      <w:r>
        <w:t>mailbox watcher loaded the saved model and served predictions, while reviewer corrections</w:t>
      </w:r>
    </w:p>
    <w:p>
      <w:r>
        <w:t>accumulated in the feedback store to be incorporated in the next retraining cycle. These stages</w:t>
      </w:r>
    </w:p>
    <w:p>
      <w:r>
        <w:t>could be triggered through short command-line instructions, which are listed in full in</w:t>
      </w:r>
    </w:p>
    <w:p>
      <w:r>
        <w:t>Appendix D for reproducibility; the following figures illustrate the system in operation.</w:t>
      </w:r>
    </w:p>
    <w:p>
      <w:r>
        <w:t>The review console, shown in Figure 5.2, allowed a reviewer to paste an email and immediately</w:t>
      </w:r>
    </w:p>
    <w:p>
      <w:r>
        <w:t>see its classification, the probability assigned, and the individual structural signals that</w:t>
      </w:r>
    </w:p>
    <w:p>
      <w:r>
        <w:t>fired, together with buttons to confirm or correct the decision. When the detector was accessed</w:t>
      </w:r>
    </w:p>
    <w:p>
      <w:r>
        <w:t>through its service interface, it returned a structured response containing the predicted label,</w:t>
      </w:r>
    </w:p>
    <w:p>
      <w:r>
        <w:t>the spam probability, a confidence value and the list of contributing signals, as shown in</w:t>
      </w:r>
    </w:p>
    <w:p>
      <w:r>
        <w:t>Figure 5.3. Finally, the mailbox watcher could monitor a folder and, in quarantine mode, move</w:t>
      </w:r>
    </w:p>
    <w:p>
      <w:r>
        <w:t>each flagged message into a quarantine directory while logging the decision to the review queue,</w:t>
      </w:r>
    </w:p>
    <w:p>
      <w:r>
        <w:t>as shown in Figure 5.4.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Spam / Ham / Correct feedback buttons.]</w:t>
      </w:r>
    </w:p>
    <w:p>
      <w:pPr>
        <w:jc w:val="center"/>
      </w:pPr>
      <w:r>
        <w:rPr>
          <w:i/>
        </w:rPr>
        <w:t>FIGURE 5.3: Screenshot of an example service prediction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message</w:t>
      </w:r>
    </w:p>
    <w:p>
      <w:r>
        <w:t>being 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r>
        <w:t>This chapter reports and discusses the experimental results. It describes the testing setup and</w:t>
      </w:r>
    </w:p>
    <w:p>
      <w:r>
        <w:t>the metrics used, presents the performance of the three classifiers in both content-only and</w:t>
      </w:r>
    </w:p>
    <w:p>
      <w:r>
        <w:t>fused configurations, examines precision, recall, the false-positive rate, latency and the</w:t>
      </w:r>
    </w:p>
    <w:p>
      <w:r>
        <w:t>effect of the decision threshold, evaluates the adaptive-retraining mechanism, and assesses each</w:t>
      </w:r>
    </w:p>
    <w:p>
      <w:r>
        <w:t>objective against the measured evidence.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the external-evaluation procedure, which reported catch rate across thresholds.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— multinomial Naïve Bayes, class-balanced logistic regression and a</w:t>
      </w:r>
    </w:p>
    <w:p>
      <w:r>
        <w:t>linear support-vector machine — were each trained and evaluated under two feature</w:t>
      </w:r>
    </w:p>
    <w:p>
      <w:r>
        <w:t>configurations: content features only, and the full content–metadata fusion. All five</w:t>
      </w:r>
    </w:p>
    <w:p>
      <w:r>
        <w:t>resulting configurations used the same training and held-out split, the same preprocessing and</w:t>
      </w:r>
    </w:p>
    <w:p>
      <w:r>
        <w:t>the same decision threshold, so that the comparison reflected only the choice of classifier and</w:t>
      </w:r>
    </w:p>
    <w:p>
      <w:r>
        <w:t>feature set. For each configuration the accuracy, precision, recall, F1 score and ROC-AUC were</w:t>
      </w:r>
    </w:p>
    <w:p>
      <w:r>
        <w:t>recorded on the held-out split; the complete command-line procedure is documented in Appendix D.</w:t>
      </w:r>
    </w:p>
    <w:p>
      <w:r>
        <w:t>The results on the full 81,152-email corpus are summarised in Table 6.2. The support-vector</w:t>
      </w:r>
    </w:p>
    <w:p>
      <w:r>
        <w:t>machine's iteration limit was raised from the default 1,000 to 10,000 because the default value</w:t>
      </w:r>
    </w:p>
    <w:p>
      <w:r>
        <w:t>produced a convergence warning on the large fused feature set; with this setting the metrics</w:t>
      </w:r>
    </w:p>
    <w:p>
      <w:r>
        <w:t>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5.3),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in a controlled before/after demonstration on a held-out new campaign,</w:t>
      </w:r>
    </w:p>
    <w:p>
      <w:r>
        <w:t>the number of campaign messages caught rose from 0 out of 6 before retraining to 5 out of 6 after</w:t>
      </w:r>
    </w:p>
    <w:p>
      <w:r>
        <w:t>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(held-out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and metadata extraction component;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 comparison experiment;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r>
        <w:t>This final chapter concludes the project. It first summarises what was achieved and how the</w:t>
      </w:r>
    </w:p>
    <w:p>
      <w:r>
        <w:t>results satisfied each of the four objectives stated in Chapter 1, then reflects on the</w:t>
      </w:r>
    </w:p>
    <w:p>
      <w:r>
        <w:t>limitations of the present system and recommends directions for future work, including a</w:t>
      </w:r>
    </w:p>
    <w:p>
      <w:r>
        <w:t>direct comparison with commercial filters on the same emails and deployment in a live mail</w:t>
      </w:r>
    </w:p>
    <w:p>
      <w:r>
        <w:t>environment.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stated objectives.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t xml:space="preserve">[18] Kaspersky, "Spam and phishing in 2024," </w:t>
      </w:r>
      <w:r>
        <w:rPr>
          <w:i/>
        </w:rPr>
        <w:t>Securelist</w:t>
      </w:r>
      <w:r>
        <w:t>, Kaspersky Lab, Feb. 2025.</w:t>
      </w:r>
    </w:p>
    <w:p>
      <w:r>
        <w:t>[Online]. Available: https://securelist.com/spam-and-phishing-report-2024/115536/</w:t>
      </w:r>
    </w:p>
    <w:p>
      <w:r>
        <w:t>[19] Federal Bureau of Investigation, "2024 Internet Crime Report," Internet Crime Complaint</w:t>
      </w:r>
    </w:p>
    <w:p>
      <w:r>
        <w:t>Center (IC3), 2025. [Online]. Available: https://www.ic3.gov/AnnualReport/Reports</w:t>
      </w:r>
    </w:p>
    <w:p>
      <w:r>
        <w:t>[20] Anti-Phishing Working Group, "Phishing Activity Trends Report, 2024," APWG, 2024–2025.</w:t>
      </w:r>
    </w:p>
    <w:p>
      <w:r>
        <w:t>[Online]. Available: https://apwg.org/resources/phishingactivitytrends/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classifier-comparison output table and the per-configuration</w:t>
      </w:r>
    </w:p>
    <w:p>
      <w:r>
        <w:t>confusion matrices produced during the evaluation described in Section 6.2.]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For reproducibility, the system was run from the command line inside the Python virtual</w:t>
      </w:r>
    </w:p>
    <w:p>
      <w:r>
        <w:t>environment described in Section 5.2. The environment was created and the required libraries</w:t>
      </w:r>
    </w:p>
    <w:p>
      <w:r>
        <w:t>installed with the following commands: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venv .venv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.venv\Scripts\activate          (Windows)   /   source .venv/bin/activate   (Linux/macOS)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pip install -r requirements.txt</w:t>
      </w:r>
    </w:p>
    <w:p>
      <w:r>
        <w:t>The four principal operations — training and evaluation, external (AI-mail) evaluation,</w:t>
      </w:r>
    </w:p>
    <w:p>
      <w:r>
        <w:t>running the detection service, and continuous mailbox monitoring — were invoked as follows: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1. Train on the reviewed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2. Score an external / AI-generated set (a body-only CSV is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3. Start the detection service, then open its address in a web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4. Monitor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r>
        <w:t>[FILL IN: add any further screenshots not placed in Chapter 5, e.g. the training output and the</w:t>
      </w:r>
    </w:p>
    <w:p>
      <w:r>
        <w:t>threshold-sweep output.]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