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primary actor was an IT administrator or reviewer. A secondary, automated actor was a mail automation workflow that called the service. Figure 3.2 presents the use-case diagram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pastes an email into the browser console, submits it through the service, or drops a message file into the folder watched by the mailbox scanner.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reviewer can understand and check the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a verdict is wrong, the reviewer marks the message as spam or legitimate. The correction is saved to the labelled feedback store for the next retraining cycle.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starts the detection service so that emails can be submitted and scored through the web console or the service interface.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scans a mail folder and, in quarantine mode, moves messages judged to be spam into a quarantine folder while logging every decision to the review queue.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triggers adaptive retraining: reviewed feedback is merged with the training data, the new model is validated on the held-out split, and it is redeployed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