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(1 of 22)</w:t>
            </w:r>
          </w:p>
          <w:p>
            <w:r>
              <w:rPr>
                <w:rFonts w:ascii="Times New Roman" w:hAnsi="Times New Roman"/>
                <w:color w:val="555555"/>
                <w:sz w:val="20"/>
              </w:rPr>
              <w:t>FRONT MATTER - List of Figures (added Figures 1.2 and 1.3)</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1"/>
      </w:pPr>
      <w:r>
        <w:t>LIST OF FIGURES</w:t>
      </w:r>
    </w:p>
    <w:p>
      <w:pPr>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(2 of 22)</w:t>
            </w:r>
          </w:p>
          <w:p>
            <w:r>
              <w:rPr>
                <w:rFonts w:ascii="Times New Roman" w:hAnsi="Times New Roman"/>
                <w:color w:val="555555"/>
                <w:sz w:val="20"/>
              </w:rPr>
              <w:t>FRONT MATTER - List of Tables (renumbered 5.1/5.2/5.3)</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1"/>
      </w:pPr>
      <w:r>
        <w:t>LIST OF TABLES</w:t>
      </w:r>
    </w:p>
    <w:p>
      <w:pPr>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(3 of 22)</w:t>
            </w:r>
          </w:p>
          <w:p>
            <w:r>
              <w:rPr>
                <w:rFonts w:ascii="Times New Roman" w:hAnsi="Times New Roman"/>
                <w:color w:val="555555"/>
                <w:sz w:val="20"/>
              </w:rPr>
              <w:t>CHAPTER 1 - opener (new Figures 1.2/1.3 + BEC/phishing/Verizon stats)</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1"/>
      </w:pPr>
      <w:r>
        <w:t>CHAPTER 1: INTRODUCTION</w:t>
      </w:r>
    </w:p>
    <w:p>
      <w:pPr>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303520" cy="5472725"/>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5472725"/>
                    </a:xfrm>
                    <a:prstGeom prst="rect"/>
                  </pic:spPr>
                </pic:pic>
              </a:graphicData>
            </a:graphic>
          </wp:inline>
        </w:drawing>
      </w:r>
    </w:p>
    <w:p>
      <w:pPr>
        <w:jc w:val="center"/>
      </w:pPr>
      <w:r>
        <w:rPr>
          <w:rFonts w:ascii="Times New Roman" w:hAnsi="Times New Roman"/>
          <w:i/>
          <w:color w:val="555555"/>
          <w:sz w:val="18"/>
        </w:rPr>
        <w:t>Figure 1.1: Spam as a share of worldwide email traffic in 2024 (Kaspersky Securelist [18</w:t>
      </w:r>
    </w:p>
    <w:p/>
    <w:p>
      <w:pPr>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303520" cy="3287335"/>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287335"/>
                    </a:xfrm>
                    <a:prstGeom prst="rect"/>
                  </pic:spPr>
                </pic:pic>
              </a:graphicData>
            </a:graphic>
          </wp:inline>
        </w:drawing>
      </w:r>
    </w:p>
    <w:p>
      <w:pPr>
        <w:jc w:val="center"/>
      </w:pPr>
      <w:r>
        <w:rPr>
          <w:rFonts w:ascii="Times New Roman" w:hAnsi="Times New Roman"/>
          <w:i/>
          <w:color w:val="555555"/>
          <w:sz w:val="18"/>
        </w:rPr>
        <w:t>Figure 1.2: Phishing attacks recorded per quarter in 2024 (Anti-Phishing Working Group [20</w:t>
      </w:r>
    </w:p>
    <w:p/>
    <w:p>
      <w:pPr>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jc w:val="center"/>
      </w:pPr>
      <w:r>
        <w:rPr>
          <w:rFonts w:ascii="Times New Roman" w:hAnsi="Times New Roman"/>
          <w:i/>
          <w:color w:val="555555"/>
          <w:sz w:val="18"/>
        </w:rPr>
        <w:t>Figure 1.3: Summary of key email-security threat statistics from recent official reports</w:t>
      </w:r>
    </w:p>
    <w:p/>
    <w:p>
      <w:pPr>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(4 of 22)</w:t>
            </w:r>
          </w:p>
          <w:p>
            <w:r>
              <w:rPr>
                <w:rFonts w:ascii="Times New Roman" w:hAnsi="Times New Roman"/>
                <w:color w:val="555555"/>
                <w:sz w:val="20"/>
              </w:rPr>
              <w:t>SECTION 1.1 - added citations [4][5][19]</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2"/>
      </w:pPr>
      <w:r>
        <w:t>1.1 Problem Statement and Motivation</w:t>
      </w:r>
    </w:p>
    <w:p>
      <w:pPr>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(5 of 22)</w:t>
            </w:r>
          </w:p>
          <w:p>
            <w:r>
              <w:rPr>
                <w:rFonts w:ascii="Times New Roman" w:hAnsi="Times New Roman"/>
                <w:color w:val="555555"/>
                <w:sz w:val="20"/>
              </w:rPr>
              <w:t>REFERENCES - new entries [18] Kaspersky, [19] FBI IC3, [20] APWG</w:t>
            </w:r>
          </w:p>
          <w:p>
            <w:r>
              <w:rPr>
                <w:rFonts w:ascii="Times New Roman" w:hAnsi="Times New Roman"/>
                <w:i/>
                <w:color w:val="555555"/>
                <w:sz w:val="18"/>
              </w:rPr>
              <w:t>Go to this section in your own report, delete its old contents, then copy everything under this banner (tables copy as tables).</w:t>
            </w:r>
          </w:p>
        </w:tc>
      </w:tr>
    </w:tbl>
    <w:p/>
    <w:p>
      <w:r>
        <w:t>[18] Kaspersky, "Spam and phishing in 2024," Securelist,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(6 of 22)</w:t>
            </w:r>
          </w:p>
          <w:p>
            <w:r>
              <w:rPr>
                <w:rFonts w:ascii="Times New Roman" w:hAnsi="Times New Roman"/>
                <w:color w:val="555555"/>
                <w:sz w:val="20"/>
              </w:rPr>
              <w:t>SECTION 2.1.2 - removed 'also tested on Linux' claim (Windows 11 only)</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3"/>
      </w:pPr>
      <w:r>
        <w:t>2.1.2 Firmware / Operating System</w:t>
      </w:r>
    </w:p>
    <w:p>
      <w:pPr>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(7 of 22)</w:t>
            </w:r>
          </w:p>
          <w:p>
            <w:r>
              <w:rPr>
                <w:rFonts w:ascii="Times New Roman" w:hAnsi="Times New Roman"/>
                <w:color w:val="555555"/>
                <w:sz w:val="20"/>
              </w:rPr>
              <w:t>SECTION 2.4 - 'Python virtual environment' wording</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2"/>
      </w:pPr>
      <w:r>
        <w:t>2.4 Summary</w:t>
      </w:r>
    </w:p>
    <w:p>
      <w:pPr>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(8 of 22)</w:t>
            </w:r>
          </w:p>
          <w:p>
            <w:r>
              <w:rPr>
                <w:rFonts w:ascii="Times New Roman" w:hAnsi="Times New Roman"/>
                <w:color w:val="555555"/>
                <w:sz w:val="20"/>
              </w:rPr>
              <w:t>SECTION 3.1 (use-case table) - generic service wording</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3"/>
      </w:pPr>
      <w:r>
        <w:t>3.1.2 Use Case Diagram and Description</w:t>
      </w:r>
    </w:p>
    <w:p>
      <w:pPr>
        <w:jc w:val="both"/>
      </w:pPr>
      <w:r>
        <w:t>The primary actor was an IT administrator or reviewer. A secondary, automated actor was a mail automation workflow that called the service. Figure 3.2 presents the use-case diagram and Table 3.1 describes each use case.</w:t>
      </w:r>
    </w:p>
    <w:p>
      <w:pPr>
        <w:jc w:val="center"/>
      </w:pPr>
      <w:r>
        <w:drawing>
          <wp:inline xmlns:a="http://schemas.openxmlformats.org/drawingml/2006/main" xmlns:pic="http://schemas.openxmlformats.org/drawingml/2006/picture">
            <wp:extent cx="5303520" cy="3126285"/>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3126285"/>
                    </a:xfrm>
                    <a:prstGeom prst="rect"/>
                  </pic:spPr>
                </pic:pic>
              </a:graphicData>
            </a:graphic>
          </wp:inline>
        </w:drawing>
      </w:r>
    </w:p>
    <w:p>
      <w:pPr>
        <w:jc w:val="center"/>
      </w:pPr>
      <w:r>
        <w:rPr>
          <w:rFonts w:ascii="Times New Roman" w:hAnsi="Times New Roman"/>
          <w:i/>
          <w:color w:val="555555"/>
          <w:sz w:val="18"/>
        </w:rPr>
        <w:t>Figure 3.2: insert the use-case diagram for the reviewer/administrator actor</w:t>
      </w:r>
    </w:p>
    <w:p/>
    <w:p>
      <w:pPr>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An email is pasted in the review console, submitted to the prediction service, or picked up by the mailbox watcher.</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verdict and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returns a label, spam probability and the structural signals that fired.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flagged mail</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watcher</w:t>
            </w:r>
          </w:p>
        </w:tc>
        <w:tc>
          <w:tcPr>
            <w:tcW w:type="dxa" w:w="3024"/>
          </w:tcPr>
          <w:p>
            <w:pPr>
              <w:spacing w:line="240" w:lineRule="auto" w:after="40"/>
              <w:jc w:val="left"/>
            </w:pPr>
            <w:r>
              <w:rPr>
                <w:rFonts w:ascii="Times New Roman" w:hAnsi="Times New Roman"/>
                <w:sz w:val="21"/>
              </w:rPr>
            </w:r>
            <w:r>
              <w:rPr>
                <w:rFonts w:ascii="Times New Roman" w:hAnsi="Times New Roman"/>
                <w:sz w:val="21"/>
              </w:rPr>
              <w:t>Messages above threshold are moved to a quarantine folder in quarantine mode.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misclassification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marks a result as spam/ham/correct; the correction is appended to the labelled feedback store.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Retrain on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scheduler</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Reviewed labels are merged with training data and a new model is fitted, validated and redeployed.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 predictions</w:t>
            </w:r>
          </w:p>
        </w:tc>
        <w:tc>
          <w:tcPr>
            <w:tcW w:type="dxa" w:w="3024"/>
          </w:tcPr>
          <w:p>
            <w:pPr>
              <w:spacing w:line="240" w:lineRule="auto" w:after="40"/>
              <w:jc w:val="left"/>
            </w:pPr>
            <w:r>
              <w:rPr>
                <w:rFonts w:ascii="Times New Roman" w:hAnsi="Times New Roman"/>
                <w:sz w:val="21"/>
              </w:rPr>
            </w:r>
            <w:r>
              <w:rPr>
                <w:rFonts w:ascii="Times New Roman" w:hAnsi="Times New Roman"/>
                <w:sz w:val="21"/>
              </w:rPr>
              <w:t>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External workflows obtain scores through the REST API.</w:t>
            </w:r>
          </w:p>
        </w:tc>
      </w:tr>
    </w:tbl>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(9 of 22)</w:t>
            </w:r>
          </w:p>
          <w:p>
            <w:r>
              <w:rPr>
                <w:rFonts w:ascii="Times New Roman" w:hAnsi="Times New Roman"/>
                <w:color w:val="555555"/>
                <w:sz w:val="20"/>
              </w:rPr>
              <w:t>SECTION 3.3 - added plain-English TF-IDF explanation</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2"/>
      </w:pPr>
      <w:r>
        <w:t>3.3 Feature Extraction and Classification Approach</w:t>
      </w:r>
    </w:p>
    <w:p>
      <w:pPr>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w:t>
      </w:r>
    </w:p>
    <w:p>
      <w:pPr>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w:t>
      </w:r>
    </w:p>
    <w:p>
      <w:pPr>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(10 of 22)</w:t>
            </w:r>
          </w:p>
          <w:p>
            <w:r>
              <w:rPr>
                <w:rFonts w:ascii="Times New Roman" w:hAnsi="Times New Roman"/>
                <w:color w:val="555555"/>
                <w:sz w:val="20"/>
              </w:rPr>
              <w:t>SECTION 3.4 - added plain definitions of TP/FP/FN/TN and the metrics</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2"/>
      </w:pPr>
      <w:r>
        <w:t>3.4 Evaluation Design and Performance Definitions</w:t>
      </w:r>
    </w:p>
    <w:p>
      <w:pPr>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Formally, precision was TP/(TP+FP), recall was TP/(TP+FN), and the F1 score was their harmonic mean. A threshold sweep reported phishing recall at a low (≤5%) false-positive operating point.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(11 of 22)</w:t>
            </w:r>
          </w:p>
          <w:p>
            <w:r>
              <w:rPr>
                <w:rFonts w:ascii="Times New Roman" w:hAnsi="Times New Roman"/>
                <w:color w:val="555555"/>
                <w:sz w:val="20"/>
              </w:rPr>
              <w:t>SECTION 4.1 - fixed broken sentence / removed code names</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2"/>
      </w:pPr>
      <w:r>
        <w:t>4.1 System Block Diagram</w:t>
      </w:r>
    </w:p>
    <w:p>
      <w:pPr>
        <w:jc w:val="both"/>
      </w:pPr>
      <w:r>
        <w:t>The system comprised five top-level blocks, shown in Figure 4.1:</w:t>
      </w:r>
    </w:p>
    <w:p>
      <w:pPr>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303520" cy="3120703"/>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120703"/>
                    </a:xfrm>
                    <a:prstGeom prst="rect"/>
                  </pic:spPr>
                </pic:pic>
              </a:graphicData>
            </a:graphic>
          </wp:inline>
        </w:drawing>
      </w:r>
    </w:p>
    <w:p>
      <w:pPr>
        <w:jc w:val="center"/>
      </w:pPr>
      <w:r>
        <w:rPr>
          <w:rFonts w:ascii="Times New Roman" w:hAnsi="Times New Roman"/>
          <w:i/>
          <w:color w:val="555555"/>
          <w:sz w:val="18"/>
        </w:rPr>
        <w:t>Figure 4.1: insert the system block diagram (ingestion, features, fusion, action, adaptation)</w:t>
      </w:r>
    </w:p>
    <w:p/>
    <w:p>
      <w:pPr>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(12 of 22)</w:t>
            </w:r>
          </w:p>
          <w:p>
            <w:r>
              <w:rPr>
                <w:rFonts w:ascii="Times New Roman" w:hAnsi="Times New Roman"/>
                <w:color w:val="555555"/>
                <w:sz w:val="20"/>
              </w:rPr>
              <w:t>SECTION 4.2 - RESTRUCTURED: overview Table 4.1 + new subsections 4.2.1-4.2.5</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2"/>
      </w:pPr>
      <w:r>
        <w:t>4.2 System Components Specifications</w:t>
      </w:r>
    </w:p>
    <w:p>
      <w:pPr>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3"/>
      </w:pPr>
      <w:r>
        <w:t>4.2.1 Data Ingestion and Preparation</w:t>
      </w:r>
    </w:p>
    <w:p>
      <w:pPr>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pPr>
      <w:r>
        <w:t>4.2.2 Email Parsing and Feature Extraction</w:t>
      </w:r>
    </w:p>
    <w:p>
      <w:pPr>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pPr>
      <w:r>
        <w:t>4.2.3 Fusion Classification Engine</w:t>
      </w:r>
    </w:p>
    <w:p>
      <w:pPr>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pPr>
      <w:r>
        <w:t>4.2.4 Detection Service and Mailbox Scanner</w:t>
      </w:r>
    </w:p>
    <w:p>
      <w:pPr>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pPr>
      <w:r>
        <w:t>4.2.5 Review, Feedback and Adaptive Retraining</w:t>
      </w:r>
    </w:p>
    <w:p>
      <w:pPr>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(13 of 22)</w:t>
            </w:r>
          </w:p>
          <w:p>
            <w:r>
              <w:rPr>
                <w:rFonts w:ascii="Times New Roman" w:hAnsi="Times New Roman"/>
                <w:color w:val="555555"/>
                <w:sz w:val="20"/>
              </w:rPr>
              <w:t>SECTION 4.3 - Table 4.2 signals in plain English; code snippets removed</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2"/>
      </w:pPr>
      <w:r>
        <w:t>4.3 Data and Feature Design</w:t>
      </w:r>
    </w:p>
    <w:p>
      <w:pPr>
        <w:jc w:val="both"/>
      </w:pPr>
      <w:r>
        <w:t>The twelve structural metadata signals are defined in Table 4.2.</w:t>
      </w:r>
    </w:p>
    <w:p>
      <w:pPr>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pPr>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(14 of 22)</w:t>
            </w:r>
          </w:p>
          <w:p>
            <w:r>
              <w:rPr>
                <w:rFonts w:ascii="Times New Roman" w:hAnsi="Times New Roman"/>
                <w:color w:val="555555"/>
                <w:sz w:val="20"/>
              </w:rPr>
              <w:t>SECTION 4.4 - removed 'one-line commands' phrase</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2"/>
      </w:pPr>
      <w:r>
        <w:t>4.4 System Components Interaction Operations</w:t>
      </w:r>
    </w:p>
    <w:p>
      <w:pPr>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(15 of 22)</w:t>
            </w:r>
          </w:p>
          <w:p>
            <w:r>
              <w:rPr>
                <w:rFonts w:ascii="Times New Roman" w:hAnsi="Times New Roman"/>
                <w:color w:val="555555"/>
                <w:sz w:val="20"/>
              </w:rPr>
              <w:t>CHAPTER 5 - opener + 5.1 Hardware + 5.2 Software + 5.3 Config + 5.4 Operation</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1"/>
      </w:pPr>
      <w:r>
        <w:t>CHAPTER 5: SYSTEM IMPLEMENTATION</w:t>
      </w:r>
    </w:p>
    <w:p>
      <w:pPr>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pPr>
      <w:r>
        <w:t>5.1 Hardware Setup</w:t>
      </w:r>
    </w:p>
    <w:p>
      <w:pPr>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pPr>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tbl>
      <w:tblPr>
        <w:tblStyle w:val="TableGrid"/>
        <w:tblW w:type="auto" w:w="0"/>
        <w:tblLook w:firstColumn="1" w:firstRow="1" w:lastColumn="0" w:lastRow="0" w:noHBand="0" w:noVBand="1" w:val="04A0"/>
      </w:tblPr>
      <w:tblGrid>
        <w:gridCol w:w="9072"/>
      </w:tblGrid>
      <w:tr>
        <w:tc>
          <w:tcPr>
            <w:tcW w:type="dxa" w:w="9072"/>
            <w:shd w:val="clear" w:fill="FFF2CC"/>
          </w:tcPr>
          <w:p>
            <w:pPr>
              <w:jc w:val="center"/>
            </w:pPr>
            <w:r>
              <w:rPr>
                <w:rFonts w:ascii="Times New Roman" w:hAnsi="Times New Roman"/>
                <w:b/>
                <w:color w:val="806000"/>
                <w:sz w:val="20"/>
              </w:rPr>
              <w:t>INSERT YOUR OWN PICTURE HERE  —  Figure 5.1: Screenshot of the terminal showing the Python virtual environment created and the requirements installed successfully</w:t>
            </w:r>
          </w:p>
        </w:tc>
      </w:tr>
    </w:tbl>
    <w:p/>
    <w:p>
      <w:pPr>
        <w:pStyle w:val="Heading2"/>
      </w:pPr>
      <w:r>
        <w:t>5.2 Software Setup</w:t>
      </w:r>
    </w:p>
    <w:p>
      <w:pPr>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
      <w:pPr>
        <w:jc w:val="both"/>
      </w:pPr>
      <w:r>
        <w:t>The version numbers in Table 5.2 matched the minimum versions recorded in the requirements file, so the environment could be recreated exactly. The python-docx library (1.1+) was used only to generate this report document and was not part of the detection system.</w:t>
      </w:r>
    </w:p>
    <w:p>
      <w:pPr>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pPr>
      <w:r>
        <w:t>5.3 Setting and Configuration</w:t>
      </w:r>
    </w:p>
    <w:p>
      <w:pPr>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pPr>
        <w:pStyle w:val="Heading2"/>
      </w:pPr>
      <w:r>
        <w:t>5.4 System Operation (with Screenshots)</w:t>
      </w:r>
    </w:p>
    <w:p>
      <w:pPr>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tbl>
      <w:tblPr>
        <w:tblStyle w:val="TableGrid"/>
        <w:tblW w:type="auto" w:w="0"/>
        <w:tblLook w:firstColumn="1" w:firstRow="1" w:lastColumn="0" w:lastRow="0" w:noHBand="0" w:noVBand="1" w:val="04A0"/>
      </w:tblPr>
      <w:tblGrid>
        <w:gridCol w:w="9072"/>
      </w:tblGrid>
      <w:tr>
        <w:tc>
          <w:tcPr>
            <w:tcW w:type="dxa" w:w="9072"/>
            <w:shd w:val="clear" w:fill="FFF2CC"/>
          </w:tcPr>
          <w:p>
            <w:pPr>
              <w:jc w:val="center"/>
            </w:pPr>
            <w:r>
              <w:rPr>
                <w:rFonts w:ascii="Times New Roman" w:hAnsi="Times New Roman"/>
                <w:b/>
                <w:color w:val="806000"/>
                <w:sz w:val="20"/>
              </w:rPr>
              <w:t>INSERT YOUR OWN PICTURE HERE  —  Figure 5.2: Screenshot of the browser check-and-review console showing an email classified as phishing with a high probability and the fired structural-signal chips, plus the Spam / Ham / Correct feedback buttons</w:t>
            </w:r>
          </w:p>
        </w:tc>
      </w:tr>
    </w:tbl>
    <w:p/>
    <w:tbl>
      <w:tblPr>
        <w:tblStyle w:val="TableGrid"/>
        <w:tblW w:type="auto" w:w="0"/>
        <w:tblLook w:firstColumn="1" w:firstRow="1" w:lastColumn="0" w:lastRow="0" w:noHBand="0" w:noVBand="1" w:val="04A0"/>
      </w:tblPr>
      <w:tblGrid>
        <w:gridCol w:w="9072"/>
      </w:tblGrid>
      <w:tr>
        <w:tc>
          <w:tcPr>
            <w:tcW w:type="dxa" w:w="9072"/>
            <w:shd w:val="clear" w:fill="FFF2CC"/>
          </w:tcPr>
          <w:p>
            <w:pPr>
              <w:jc w:val="center"/>
            </w:pPr>
            <w:r>
              <w:rPr>
                <w:rFonts w:ascii="Times New Roman" w:hAnsi="Times New Roman"/>
                <w:b/>
                <w:color w:val="806000"/>
                <w:sz w:val="20"/>
              </w:rPr>
              <w:t>INSERT YOUR OWN PICTURE HERE  —  Figure 5.3: Screenshot of an example service prediction response showing the label, probability, confidence and list of signals</w:t>
            </w:r>
          </w:p>
        </w:tc>
      </w:tr>
    </w:tbl>
    <w:p/>
    <w:tbl>
      <w:tblPr>
        <w:tblStyle w:val="TableGrid"/>
        <w:tblW w:type="auto" w:w="0"/>
        <w:tblLook w:firstColumn="1" w:firstRow="1" w:lastColumn="0" w:lastRow="0" w:noHBand="0" w:noVBand="1" w:val="04A0"/>
      </w:tblPr>
      <w:tblGrid>
        <w:gridCol w:w="9072"/>
      </w:tblGrid>
      <w:tr>
        <w:tc>
          <w:tcPr>
            <w:tcW w:type="dxa" w:w="9072"/>
            <w:shd w:val="clear" w:fill="FFF2CC"/>
          </w:tcPr>
          <w:p>
            <w:pPr>
              <w:jc w:val="center"/>
            </w:pPr>
            <w:r>
              <w:rPr>
                <w:rFonts w:ascii="Times New Roman" w:hAnsi="Times New Roman"/>
                <w:b/>
                <w:color w:val="806000"/>
                <w:sz w:val="20"/>
              </w:rPr>
              <w:t>INSERT YOUR OWN PICTURE HERE  —  Figure 5.4: Screenshot of a mailbox watch run in quarantine mode, showing a flagged message being moved to the quarantine directory and the decision being logged to the review queue</w:t>
            </w:r>
          </w:p>
        </w:tc>
      </w:tr>
    </w:tbl>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(16 of 22)</w:t>
            </w:r>
          </w:p>
          <w:p>
            <w:r>
              <w:rPr>
                <w:rFonts w:ascii="Times New Roman" w:hAnsi="Times New Roman"/>
                <w:color w:val="555555"/>
                <w:sz w:val="20"/>
              </w:rPr>
              <w:t>CHAPTER 6 - new opener paragraph</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1"/>
      </w:pPr>
      <w:r>
        <w:t>CHAPTER 6: SYSTEM EVALUATION AND DISCUSSION</w:t>
      </w:r>
    </w:p>
    <w:p>
      <w:pPr>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(17 of 22)</w:t>
            </w:r>
          </w:p>
          <w:p>
            <w:r>
              <w:rPr>
                <w:rFonts w:ascii="Times New Roman" w:hAnsi="Times New Roman"/>
                <w:color w:val="555555"/>
                <w:sz w:val="20"/>
              </w:rPr>
              <w:t>SECTION 6.2.2 - classifier comparison rewritten as prose (no commands)</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3"/>
      </w:pPr>
      <w:r>
        <w:t>6.2.2 Classifier and Feature-Group Comparison (Objective 3)</w:t>
      </w:r>
    </w:p>
    <w:p>
      <w:pPr>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pPr>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(18 of 22)</w:t>
            </w:r>
          </w:p>
          <w:p>
            <w:r>
              <w:rPr>
                <w:rFonts w:ascii="Times New Roman" w:hAnsi="Times New Roman"/>
                <w:color w:val="555555"/>
                <w:sz w:val="20"/>
              </w:rPr>
              <w:t>SECTION 6.2.4 - adaptive demonstration sentence fixed</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3"/>
      </w:pPr>
      <w:r>
        <w:t>6.2.4 Adaptive Improvement (Objective 4)</w:t>
      </w:r>
    </w:p>
    <w:p>
      <w:pPr>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pPr>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tbl>
      <w:tblPr>
        <w:tblStyle w:val="TableGrid"/>
        <w:tblW w:type="auto" w:w="0"/>
        <w:tblLook w:firstColumn="1" w:firstRow="1" w:lastColumn="0" w:lastRow="0" w:noHBand="0" w:noVBand="1" w:val="04A0"/>
      </w:tblPr>
      <w:tblGrid>
        <w:gridCol w:w="9072"/>
      </w:tblGrid>
      <w:tr>
        <w:tc>
          <w:tcPr>
            <w:tcW w:type="dxa" w:w="9072"/>
            <w:shd w:val="clear" w:fill="FFF2CC"/>
          </w:tcPr>
          <w:p>
            <w:pPr>
              <w:jc w:val="center"/>
            </w:pPr>
            <w:r>
              <w:rPr>
                <w:rFonts w:ascii="Times New Roman" w:hAnsi="Times New Roman"/>
                <w:b/>
                <w:color w:val="806000"/>
                <w:sz w:val="20"/>
              </w:rPr>
              <w:t>INSERT YOUR OWN PICTURE HERE  —  Figure 6.4: Two ROC curves on the held-out modern-threat set — before (AUC 0.81) and after (AUC 0.945) retraining — on the same axes with a legend</w:t>
            </w:r>
          </w:p>
        </w:tc>
      </w:tr>
    </w:tbl>
    <w:p/>
    <w:p>
      <w:pPr>
        <w:pStyle w:val="Heading3"/>
      </w:pPr>
      <w:r>
        <w:t>6.2.5 Comparison with Existing Systems and Commercial Filters</w:t>
      </w:r>
    </w:p>
    <w:p>
      <w:pPr>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pPr>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pPr>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(19 of 22)</w:t>
            </w:r>
          </w:p>
          <w:p>
            <w:r>
              <w:rPr>
                <w:rFonts w:ascii="Times New Roman" w:hAnsi="Times New Roman"/>
                <w:color w:val="555555"/>
                <w:sz w:val="20"/>
              </w:rPr>
              <w:t>SECTION 6.4 - objectives table cells genericised</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2"/>
      </w:pPr>
      <w:r>
        <w:t>6.4 Objectives Evaluation</w:t>
      </w:r>
    </w:p>
    <w:p>
      <w:pPr>
        <w:jc w:val="both"/>
      </w:pPr>
      <w:r>
        <w:t>Table 6.7 maps each objective to its outcome and evidence.</w:t>
      </w:r>
    </w:p>
    <w:p>
      <w:pPr>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(20 of 22)</w:t>
            </w:r>
          </w:p>
          <w:p>
            <w:r>
              <w:rPr>
                <w:rFonts w:ascii="Times New Roman" w:hAnsi="Times New Roman"/>
                <w:color w:val="555555"/>
                <w:sz w:val="20"/>
              </w:rPr>
              <w:t>CHAPTER 7 - new opener paragraph</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1"/>
      </w:pPr>
      <w:r>
        <w:t>CHAPTER 7: CONCLUSION AND RECOMMENDATION</w:t>
      </w:r>
    </w:p>
    <w:p>
      <w:pPr>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(21 of 22)</w:t>
            </w:r>
          </w:p>
          <w:p>
            <w:r>
              <w:rPr>
                <w:rFonts w:ascii="Times New Roman" w:hAnsi="Times New Roman"/>
                <w:color w:val="555555"/>
                <w:sz w:val="20"/>
              </w:rPr>
              <w:t>APPENDIX B - placeholder wording genericised</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2"/>
      </w:pPr>
      <w:r>
        <w:t>Appendix B — Full Classifier Output and Confusion Matrices</w:t>
      </w:r>
    </w:p>
    <w:p>
      <w:pPr>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r>
              <w:rPr>
                <w:rFonts w:ascii="Times New Roman" w:hAnsi="Times New Roman"/>
                <w:b/>
                <w:color w:val="1F3864"/>
                <w:sz w:val="22"/>
              </w:rPr>
              <w:t>REPLACE IN YOUR REPORT  (22 of 22)</w:t>
            </w:r>
          </w:p>
          <w:p>
            <w:r>
              <w:rPr>
                <w:rFonts w:ascii="Times New Roman" w:hAnsi="Times New Roman"/>
                <w:color w:val="555555"/>
                <w:sz w:val="20"/>
              </w:rPr>
              <w:t>APPENDIX D - NOW contains the full command reference</w:t>
            </w:r>
          </w:p>
          <w:p>
            <w:r>
              <w:rPr>
                <w:rFonts w:ascii="Times New Roman" w:hAnsi="Times New Roman"/>
                <w:i/>
                <w:color w:val="555555"/>
                <w:sz w:val="18"/>
              </w:rPr>
              <w:t>Go to this section in your own report, delete its old contents, then copy everything under this banner (tables copy as tables).</w:t>
            </w:r>
          </w:p>
        </w:tc>
      </w:tr>
    </w:tbl>
    <w:p/>
    <w:p>
      <w:pPr>
        <w:pStyle w:val="Heading2"/>
      </w:pPr>
      <w:r>
        <w:t>Appendix D — Command Reference and System Screenshots</w:t>
      </w:r>
    </w:p>
    <w:p>
      <w:pPr>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0" w:line="240" w:lineRule="auto"/>
      </w:pPr>
      <w:r>
        <w:rPr>
          <w:rFonts w:ascii="Consolas" w:hAnsi="Consolas"/>
          <w:color w:val="222222"/>
          <w:sz w:val="18"/>
        </w:rPr>
        <w:t>pip install -r requirements.txt</w:t>
      </w:r>
    </w:p>
    <w:p/>
    <w:p>
      <w:pPr>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0" w:line="240" w:lineRule="auto"/>
      </w:pPr>
      <w:r>
        <w:rPr>
          <w:rFonts w:ascii="Consolas" w:hAnsi="Consolas"/>
          <w:color w:val="222222"/>
          <w:sz w:val="18"/>
        </w:rPr>
        <w:t>python -m spam_detection.scan_mailbox mail_inbox --action quarantine --watch</w:t>
      </w:r>
    </w:p>
    <w:p/>
    <w:p>
      <w:pPr>
        <w:jc w:val="both"/>
      </w:pPr>
      <w:r>
        <w:t>[FILL IN: add any further screenshots not placed in Chapter 5, e.g. the training output and the threshold-sweep output.]</w:t>
      </w:r>
    </w:p>
    <w:p>
      <w:r>
        <w:br w:type="page"/>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