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5472725"/>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5472725"/>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287335"/>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287335"/>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primary actor was an IT administrator or reviewer. A secondary, automated actor was a mail automation workflow that called the service. Figure 3.2 presents the use-case diagram and Table 3.1 describes each use case.</w:t>
      </w:r>
    </w:p>
    <w:p>
      <w:pPr>
        <w:spacing w:before="120" w:after="40"/>
        <w:jc w:val="center"/>
      </w:pPr>
      <w:r>
        <w:drawing>
          <wp:inline xmlns:a="http://schemas.openxmlformats.org/drawingml/2006/main" xmlns:pic="http://schemas.openxmlformats.org/drawingml/2006/picture">
            <wp:extent cx="5303520" cy="3126285"/>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3126285"/>
                    </a:xfrm>
                    <a:prstGeom prst="rect"/>
                  </pic:spPr>
                </pic:pic>
              </a:graphicData>
            </a:graphic>
          </wp:inline>
        </w:drawing>
      </w:r>
    </w:p>
    <w:p>
      <w:pPr>
        <w:spacing w:after="160"/>
        <w:jc w:val="center"/>
      </w:pPr>
      <w:r>
        <w:rPr>
          <w:rFonts w:ascii="Times New Roman" w:hAnsi="Times New Roman"/>
          <w:i/>
          <w:color w:val="555555"/>
          <w:sz w:val="18"/>
        </w:rPr>
        <w:t>Figure 3.2: insert the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120703"/>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120703"/>
                    </a:xfrm>
                    <a:prstGeom prst="rect"/>
                  </pic:spPr>
                </pic:pic>
              </a:graphicData>
            </a:graphic>
          </wp:inline>
        </w:drawing>
      </w:r>
    </w:p>
    <w:p>
      <w:pPr>
        <w:spacing w:after="160"/>
        <w:jc w:val="center"/>
      </w:pPr>
      <w:r>
        <w:rPr>
          <w:rFonts w:ascii="Times New Roman" w:hAnsi="Times New Roman"/>
          <w:i/>
          <w:color w:val="555555"/>
          <w:sz w:val="18"/>
        </w:rPr>
        <w:t>Figure 4.1: insert the system block diagram (ingestion, features, fusion, action, adaptation)</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Screenshot of the terminal showing the Python virtual environment created and the requirements installed successfully</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Screenshot of the browser check-and-review console showing an email classified as phishing with a high probability and the fired structural-signal chips, plus the Spam / Ham / Correct feedback buttons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Screenshot of an example service prediction response showing the label, probability, confidence and list of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Screenshot of a mailbox watch run in quarantine mode, showing a flagged message being moved to the quarantine directory and the decision being logged to the review queue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Two ROC curves on the held-out modern-threat set — before (AUC 0.81) and after (AUC 0.945) retraining — on the same axes with a legend</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