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CHANGES ONLY — paste-ready sections</w:t>
      </w:r>
    </w:p>
    <w:p>
      <w:pPr>
        <w:jc w:val="left"/>
      </w:pPr>
      <w:r>
        <w:t>This document contains ONLY the sections that changed in the latest round, in order. For each blue banner, open the matching section of your own report, delete the old text/table, and copy the heading, paragraphs and table from here. Tables are already real tables — they paste as tables. Yellow boxes mark where a picture goes. Anything not shown here is unchanged. Do not include the blue banner or yellow boxes in your final report.</w:t>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 of 22)</w:t>
            </w:r>
          </w:p>
          <w:p>
            <w:pPr>
              <w:spacing w:after="40"/>
            </w:pPr>
            <w:r>
              <w:rPr>
                <w:rFonts w:ascii="Times New Roman" w:hAnsi="Times New Roman"/>
                <w:color w:val="555555"/>
                <w:sz w:val="20"/>
              </w:rPr>
              <w:t>FRONT MATTER - List of Figures (added Figures 1.2 and 1.3)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FIGURES</w:t>
      </w:r>
    </w:p>
    <w:p>
      <w:pPr>
        <w:spacing w:line="360" w:lineRule="auto" w:after="120" w:before="0"/>
        <w:jc w:val="both"/>
      </w:pPr>
      <w:r>
        <w:t>- Figure 1.1 Spam as a share of worldwide email traffic in 2024 (Kaspersky Securelist). - Figure 1.2 Phishing attacks recorded per quarter in 2024 (Anti-Phishing Working Group). - Figure 1.3 Key email-security threat statistics summary. - Figure 2.1 Taxonomy of spam-detection approaches and the position of this project. - Figure 2.2 Rule- / keyword-based filtering. - Figure 2.3 Content-based statistical (machine-learning) classification. - Figure 2.4 Metadata / reputation-based filtering. - Figure 2.5 Hybrid content–metadata fusion classification. - Figure 3.1 System architecture of the adaptive fusion spam-detection framework. - Figure 3.2 Use-case diagram for the reviewer/administrator actor. - Figure 3.3 Activity diagram for scoring, review and adaptive retraining. - Figure 4.1 System block diagram (ingestion, features, fusion, action, adaptation). - Figure 5.1 Software and virtual-environment setup. - Figure 5.2 Browser check-and-review console showing a phishing verdict and signal chips. - Figure 5.3 Example service prediction response (label, probability and signals). - Figure 5.4 Mailbox watch run quarantining a flagged message. - Figure 5.5 Live IMAP run scoring four messages retrieved from a commercial mailbox. - Figure 6.1 Confusion matrix of the fused model on the held-out test split (n = 20,288). - Figure 6.2 ROC curve and threshold sweep for the fused model. - Figure 6.3 Catch rate versus decision threshold on the LLM-phishing set. - Figure 6.4 ROC curves before and after one adaptive retraining cycle. - Appendix A Poster.</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 of 22)</w:t>
            </w:r>
          </w:p>
          <w:p>
            <w:pPr>
              <w:spacing w:after="40"/>
            </w:pPr>
            <w:r>
              <w:rPr>
                <w:rFonts w:ascii="Times New Roman" w:hAnsi="Times New Roman"/>
                <w:color w:val="555555"/>
                <w:sz w:val="20"/>
              </w:rPr>
              <w:t>FRONT MATTER - List of Tables (renumbered 5.1/5.2/5.3)</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LIST OF TABLES</w:t>
      </w:r>
    </w:p>
    <w:p>
      <w:pPr>
        <w:spacing w:line="360" w:lineRule="auto" w:after="120" w:before="0"/>
        <w:jc w:val="both"/>
      </w:pPr>
      <w:r>
        <w:t>- Table 2.1 Comparison of detection paradigms. - Table 2.2 Review of existing methods and their limitations. - Table 3.1 Use-case descriptions. - Table 3.2 Integrated public corpus and class distribution. - Table 4.1 Component modules and responsibilities. - Table 4.2 The thirteen structural metadata signals. - Table 5.1 Specifications of the development machine. - Table 5.2 Software and libraries used in the project. - Table 5.3 Model and feature hyper-parameters. - Table 5.4 Mailbox connection and filtering configuration. - Table 5.5 Command-line operations used to run the system. - Table 6.1 Held-out performance of the deployed fused model. - Table 6.2 Classifier and feature-group comparison (Objective 3). - Table 6.3 Detection of genuine LLM-generated phishing (n = 4,986). - Table 6.4 Before/after adaptive retraining on held-out modern-threat email. - Table 6.5 Commercial-filter comparison: vendor-reported and independently measured AI-phishing detection. - Table 6.6 Comparison with published classical models on comparable public corpora. - Table 6.7 Objectives evaluation summary.</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(3 of 22)</w:t>
            </w:r>
          </w:p>
          <w:p>
            <w:pPr>
              <w:spacing w:after="40"/>
            </w:pPr>
            <w:r>
              <w:rPr>
                <w:rFonts w:ascii="Times New Roman" w:hAnsi="Times New Roman"/>
                <w:color w:val="555555"/>
                <w:sz w:val="20"/>
              </w:rPr>
              <w:t>CHAPTER 1 - opener (new Figures 1.2/1.3 + BEC/phishing/Verizon stats)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1: INTRODUCTION</w:t>
      </w:r>
    </w:p>
    <w:p>
      <w:pPr>
        <w:spacing w:line="360" w:lineRule="auto" w:after="120" w:before="0"/>
        <w:jc w:val="both"/>
      </w:pPr>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spacing w:before="120" w:after="40"/>
        <w:jc w:val="center"/>
      </w:pPr>
      <w:r>
        <w:drawing>
          <wp:inline xmlns:a="http://schemas.openxmlformats.org/drawingml/2006/main" xmlns:pic="http://schemas.openxmlformats.org/drawingml/2006/picture">
            <wp:extent cx="5303520" cy="6231636"/>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9"/>
                    <a:stretch>
                      <a:fillRect/>
                    </a:stretch>
                  </pic:blipFill>
                  <pic:spPr>
                    <a:xfrm>
                      <a:off x="0" y="0"/>
                      <a:ext cx="5303520" cy="6231636"/>
                    </a:xfrm>
                    <a:prstGeom prst="rect"/>
                  </pic:spPr>
                </pic:pic>
              </a:graphicData>
            </a:graphic>
          </wp:inline>
        </w:drawing>
      </w:r>
    </w:p>
    <w:p>
      <w:pPr>
        <w:spacing w:after="160"/>
        <w:jc w:val="center"/>
      </w:pPr>
      <w:r>
        <w:rPr>
          <w:rFonts w:ascii="Times New Roman" w:hAnsi="Times New Roman"/>
          <w:i/>
          <w:color w:val="555555"/>
          <w:sz w:val="18"/>
        </w:rPr>
        <w:t>Figure 1.1: Spam as a share of worldwide email traffic in 2024 (Kaspersky Securelist [18</w:t>
      </w:r>
    </w:p>
    <w:p>
      <w:pPr>
        <w:spacing w:line="360" w:lineRule="auto" w:after="120" w:before="0"/>
        <w:jc w:val="both"/>
      </w:pPr>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spacing w:before="120" w:after="40"/>
        <w:jc w:val="center"/>
      </w:pPr>
      <w:r>
        <w:drawing>
          <wp:inline xmlns:a="http://schemas.openxmlformats.org/drawingml/2006/main" xmlns:pic="http://schemas.openxmlformats.org/drawingml/2006/picture">
            <wp:extent cx="5303520" cy="3479617"/>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0"/>
                    <a:stretch>
                      <a:fillRect/>
                    </a:stretch>
                  </pic:blipFill>
                  <pic:spPr>
                    <a:xfrm>
                      <a:off x="0" y="0"/>
                      <a:ext cx="5303520" cy="3479617"/>
                    </a:xfrm>
                    <a:prstGeom prst="rect"/>
                  </pic:spPr>
                </pic:pic>
              </a:graphicData>
            </a:graphic>
          </wp:inline>
        </w:drawing>
      </w:r>
    </w:p>
    <w:p>
      <w:pPr>
        <w:spacing w:after="160"/>
        <w:jc w:val="center"/>
      </w:pPr>
      <w:r>
        <w:rPr>
          <w:rFonts w:ascii="Times New Roman" w:hAnsi="Times New Roman"/>
          <w:i/>
          <w:color w:val="555555"/>
          <w:sz w:val="18"/>
        </w:rPr>
        <w:t>Figure 1.2: Phishing attacks recorded per quarter in 2024 (Anti-Phishing Working Group [20</w:t>
      </w:r>
    </w:p>
    <w:p>
      <w:pPr>
        <w:spacing w:line="360" w:lineRule="auto" w:after="120" w:before="0"/>
        <w:jc w:val="both"/>
      </w:pPr>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spacing w:before="120" w:after="40"/>
        <w:jc w:val="center"/>
      </w:pPr>
      <w:r>
        <w:drawing>
          <wp:inline xmlns:a="http://schemas.openxmlformats.org/drawingml/2006/main" xmlns:pic="http://schemas.openxmlformats.org/drawingml/2006/picture">
            <wp:extent cx="5303520" cy="1996825"/>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1"/>
                    <a:stretch>
                      <a:fillRect/>
                    </a:stretch>
                  </pic:blipFill>
                  <pic:spPr>
                    <a:xfrm>
                      <a:off x="0" y="0"/>
                      <a:ext cx="5303520" cy="1996825"/>
                    </a:xfrm>
                    <a:prstGeom prst="rect"/>
                  </pic:spPr>
                </pic:pic>
              </a:graphicData>
            </a:graphic>
          </wp:inline>
        </w:drawing>
      </w:r>
    </w:p>
    <w:p>
      <w:pPr>
        <w:spacing w:after="160"/>
        <w:jc w:val="center"/>
      </w:pPr>
      <w:r>
        <w:rPr>
          <w:rFonts w:ascii="Times New Roman" w:hAnsi="Times New Roman"/>
          <w:i/>
          <w:color w:val="555555"/>
          <w:sz w:val="18"/>
        </w:rPr>
        <w:t>Figure 1.3: Summary of key email-security threat statistics from recent official reports</w:t>
      </w:r>
    </w:p>
    <w:p>
      <w:pPr>
        <w:spacing w:line="360" w:lineRule="auto" w:after="120" w:before="0"/>
        <w:jc w:val="both"/>
      </w:pPr>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pPr>
        <w:spacing w:line="360" w:lineRule="auto" w:after="120" w:before="0"/>
        <w:jc w:val="both"/>
      </w:pPr>
      <w:r>
        <w:t>The remainder of this chapter states the problem and motivation (Section 1.1), lists the objectives (Section 1.2), defines the project scope (Section 1.3), states the contributions (Section 1.4) and outlines the organisation of the report (Section 1.5).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(4 of 22)</w:t>
            </w:r>
          </w:p>
          <w:p>
            <w:pPr>
              <w:spacing w:after="40"/>
            </w:pPr>
            <w:r>
              <w:rPr>
                <w:rFonts w:ascii="Times New Roman" w:hAnsi="Times New Roman"/>
                <w:color w:val="555555"/>
                <w:sz w:val="20"/>
              </w:rPr>
              <w:t>SECTION 1.1 - added citations [4][5][19]</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1.1 Problem Statement and Motivation</w:t>
      </w:r>
    </w:p>
    <w:p>
      <w:pPr>
        <w:spacing w:line="360" w:lineRule="auto" w:after="120" w:before="0"/>
        <w:jc w:val="both"/>
      </w:pPr>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pPr>
        <w:spacing w:line="360" w:lineRule="auto" w:after="120" w:before="0"/>
        <w:jc w:val="both"/>
      </w:pPr>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pPr>
        <w:spacing w:line="360" w:lineRule="auto" w:after="120" w:before="0"/>
        <w:jc w:val="both"/>
      </w:pPr>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(5 of 22)</w:t>
            </w:r>
          </w:p>
          <w:p>
            <w:pPr>
              <w:spacing w:after="40"/>
            </w:pPr>
            <w:r>
              <w:rPr>
                <w:rFonts w:ascii="Times New Roman" w:hAnsi="Times New Roman"/>
                <w:color w:val="555555"/>
                <w:sz w:val="20"/>
              </w:rPr>
              <w:t>REFERENCES - new entries [18] Kaspersky, [19] FBI IC3, [20] APWG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spacing w:line="360" w:lineRule="auto" w:after="120"/>
        <w:jc w:val="both"/>
      </w:pPr>
      <w:r>
        <w:t>[18] Kaspersky, "Spam and phishing in 2024," Securelist, Kaspersky Lab, Feb. 2025. [Online]. Available: https://securelist.com/spam-and-phishing-report-2024/115536/</w:t>
      </w:r>
    </w:p>
    <w:p>
      <w:pPr>
        <w:spacing w:line="360" w:lineRule="auto" w:after="120"/>
        <w:jc w:val="both"/>
      </w:pPr>
      <w:r>
        <w:t>[19] Federal Bureau of Investigation, "2024 Internet Crime Report," Internet Crime Complaint Center (IC3), 2025. [Online]. Available: https://www.ic3.gov/AnnualReport/Reports</w:t>
      </w:r>
    </w:p>
    <w:p>
      <w:pPr>
        <w:spacing w:line="360" w:lineRule="auto" w:after="120"/>
        <w:jc w:val="both"/>
      </w:pPr>
      <w:r>
        <w:t>[20] Anti-Phishing Working Group, "Phishing Activity Trends Report, 2024," APWG, 2024-2025. [Online]. Available: https://apwg.org/resources/phishingactivitytrends/ [21] N. A. Alam, "Phishing email dataset," Kaggle, 2024. [Online]. Available: https://www.kaggle.com/datasets/naserabdullahalam/phishing-email-dataset (accessed Sep. 3, 2026). [22] A. Al-Subaiey, M. Al-Thani, N. A. Alam, K. F. Antora, A. Khandakar, and S. A. U. Zaman, "Novel interpretable and robust web-based AI platform for phishing email detection," Computers and Electrical Engineering, vol. 120, art. 109625, Dec. 2024, doi: 10.1016/j.compeleceng.2024.109625.</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(6 of 22)</w:t>
            </w:r>
          </w:p>
          <w:p>
            <w:pPr>
              <w:spacing w:after="40"/>
            </w:pPr>
            <w:r>
              <w:rPr>
                <w:rFonts w:ascii="Times New Roman" w:hAnsi="Times New Roman"/>
                <w:color w:val="555555"/>
                <w:sz w:val="20"/>
              </w:rPr>
              <w:t>SECTION 2.1.2 - removed 'also tested on Linux' claim (Windows 11 only)</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2.1.2 Firmware / Operating System</w:t>
      </w:r>
    </w:p>
    <w:p>
      <w:pPr>
        <w:spacing w:line="360" w:lineRule="auto" w:after="120" w:before="0"/>
        <w:jc w:val="both"/>
      </w:pPr>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(7 of 22)</w:t>
            </w:r>
          </w:p>
          <w:p>
            <w:pPr>
              <w:spacing w:after="40"/>
            </w:pPr>
            <w:r>
              <w:rPr>
                <w:rFonts w:ascii="Times New Roman" w:hAnsi="Times New Roman"/>
                <w:color w:val="555555"/>
                <w:sz w:val="20"/>
              </w:rPr>
              <w:t>SECTION 2.4 - 'Python virtual environment'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2.4 Summary</w:t>
      </w:r>
    </w:p>
    <w:p>
      <w:pPr>
        <w:spacing w:line="360" w:lineRule="auto" w:after="120" w:before="0"/>
        <w:jc w:val="both"/>
      </w:pPr>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(8 of 22)</w:t>
            </w:r>
          </w:p>
          <w:p>
            <w:pPr>
              <w:spacing w:after="40"/>
            </w:pPr>
            <w:r>
              <w:rPr>
                <w:rFonts w:ascii="Times New Roman" w:hAnsi="Times New Roman"/>
                <w:color w:val="555555"/>
                <w:sz w:val="20"/>
              </w:rPr>
              <w:t>SECTION 3.1 (use-case table) - generic service wording</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3.1.2 Use Case Diagram and Description</w:t>
      </w:r>
    </w:p>
    <w:p>
      <w:pPr>
        <w:spacing w:line="360" w:lineRule="auto" w:after="120" w:before="0"/>
        <w:jc w:val="both"/>
      </w:pPr>
      <w:r>
        <w:t>The system had a single human actor: an administrator who also acted as the reviewer, confirming or correcting verdicts. In normal operation the system did not require a person to handle each message: the mailbox watcher monitored a mail folder and automatically scored and quarantined incoming mail (in the same way a conventional mail filter sits on the mail server), the detection service scored messages submitted to it, and the administrator used the browser console only for testing and occasional review. Corrections were therefore made only for the rare misclassified message and were used in a periodic batch retraining rather than for every email. Figure 3.2 presents the use-case diagram from the administrator's point of view, and Table 3.1 describes each use case.</w:t>
      </w:r>
    </w:p>
    <w:p>
      <w:pPr>
        <w:spacing w:before="120" w:after="40"/>
        <w:jc w:val="center"/>
      </w:pPr>
      <w:r>
        <w:drawing>
          <wp:inline xmlns:a="http://schemas.openxmlformats.org/drawingml/2006/main" xmlns:pic="http://schemas.openxmlformats.org/drawingml/2006/picture">
            <wp:extent cx="5303520" cy="4653088"/>
            <wp:docPr id="4" name="Picture 4"/>
            <wp:cNvGraphicFramePr>
              <a:graphicFrameLocks noChangeAspect="1"/>
            </wp:cNvGraphicFramePr>
            <a:graphic>
              <a:graphicData uri="http://schemas.openxmlformats.org/drawingml/2006/picture">
                <pic:pic>
                  <pic:nvPicPr>
                    <pic:cNvPr id="0" name="fig3_2_use_case.png"/>
                    <pic:cNvPicPr/>
                  </pic:nvPicPr>
                  <pic:blipFill>
                    <a:blip r:embed="rId12"/>
                    <a:stretch>
                      <a:fillRect/>
                    </a:stretch>
                  </pic:blipFill>
                  <pic:spPr>
                    <a:xfrm>
                      <a:off x="0" y="0"/>
                      <a:ext cx="5303520" cy="4653088"/>
                    </a:xfrm>
                    <a:prstGeom prst="rect"/>
                  </pic:spPr>
                </pic:pic>
              </a:graphicData>
            </a:graphic>
          </wp:inline>
        </w:drawing>
      </w:r>
    </w:p>
    <w:p>
      <w:pPr>
        <w:spacing w:after="160"/>
        <w:jc w:val="center"/>
      </w:pPr>
      <w:r>
        <w:rPr>
          <w:rFonts w:ascii="Times New Roman" w:hAnsi="Times New Roman"/>
          <w:i/>
          <w:color w:val="555555"/>
          <w:sz w:val="18"/>
        </w:rPr>
        <w:t>Figure 3.2: Use-case diagram for the reviewer/administrator actor</w:t>
      </w:r>
    </w:p>
    <w:p>
      <w:pPr>
        <w:spacing w:line="360" w:lineRule="auto" w:after="120" w:before="0"/>
        <w:jc w:val="both"/>
      </w:pPr>
      <w:r>
        <w:rPr>
          <w:b/>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Each incoming message is processed automatically — the mailbox watcher scores mail in the monitored folder, or the detection service scores a message submitted to it; the console also allows a message to be pasted for testing. The system parses the message and prepares it for classification.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prediction and fired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displays the predicted label (spam or legitimate), the spam probability, and the structural signals that contributed to the decision, so the administrator can understand and check a verdict.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a misclassification (provide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When the occasional verdict is wrong, the administrator marks the message as spam or legitimate. The correction is saved to the labelled feedback store for the next periodic retraining; this is done only for rare errors, not for every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 and evaluate models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trains the fusion classifier on the labelled corpus and the system reports its accuracy, precision, recall, F1 score and ROC-AUC on a held-out test split.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Run the 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The administrator starts the detection service so that incoming messages can be submitted and scored automatically through the service interface or the web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Scan mailbox and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Running unattended in watch-and-quarantine mode, the system automatically scores every message that arrives in the monitored folder, moves spam to a quarantine folder, and logs every decision to the review queue — no manual action per message.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feedback and retrain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 Administrator</w:t>
            </w:r>
          </w:p>
        </w:tc>
        <w:tc>
          <w:tcPr>
            <w:tcW w:type="dxa" w:w="3024"/>
          </w:tcPr>
          <w:p>
            <w:pPr>
              <w:spacing w:line="240" w:lineRule="auto" w:after="40"/>
              <w:jc w:val="left"/>
            </w:pPr>
            <w:r>
              <w:rPr>
                <w:rFonts w:ascii="Times New Roman" w:hAnsi="Times New Roman"/>
                <w:sz w:val="21"/>
              </w:rPr>
            </w:r>
            <w:r>
              <w:rPr>
                <w:rFonts w:ascii="Times New Roman" w:hAnsi="Times New Roman"/>
                <w:sz w:val="21"/>
              </w:rPr>
              <w:t>Run periodically: the accumulated reviewed feedback is merged with the training data and a new model is fitted, which is then evaluated on the held-out split before further use.</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(9 of 22)</w:t>
            </w:r>
          </w:p>
          <w:p>
            <w:pPr>
              <w:spacing w:after="40"/>
            </w:pPr>
            <w:r>
              <w:rPr>
                <w:rFonts w:ascii="Times New Roman" w:hAnsi="Times New Roman"/>
                <w:color w:val="555555"/>
                <w:sz w:val="20"/>
              </w:rPr>
              <w:t>SECTION 3.3 - added plain-English TF-IDF explanation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3.3 Feature Extraction and Classification Approach</w:t>
      </w:r>
    </w:p>
    <w:p>
      <w:pPr>
        <w:spacing w:line="360" w:lineRule="auto" w:after="120" w:before="0"/>
        <w:jc w:val="both"/>
      </w:pPr>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 The weight assigned to a term t in an email d was computed as in Equations (3.1) and (3.2):</w:t>
      </w:r>
    </w:p>
    <w:p>
      <w:pPr>
        <w:spacing w:before="80" w:after="80"/>
        <w:jc w:val="center"/>
      </w:pPr>
      <w:r>
        <w:rPr>
          <w:rFonts w:ascii="Cambria Math" w:hAnsi="Cambria Math"/>
          <w:sz w:val="24"/>
        </w:rPr>
        <w:t>w(t, d) = ( 1 + ln tf(t, d) ) · idf(t)</w:t>
        <w:tab/>
        <w:tab/>
        <w:tab/>
        <w:tab/>
        <w:tab/>
        <w:tab/>
        <w:tab/>
        <w:tab/>
        <w:tab/>
        <w:t>(3.1)</w:t>
      </w:r>
    </w:p>
    <w:p>
      <w:pPr>
        <w:spacing w:before="80" w:after="80"/>
        <w:jc w:val="center"/>
      </w:pPr>
      <w:r>
        <w:rPr>
          <w:rFonts w:ascii="Cambria Math" w:hAnsi="Cambria Math"/>
          <w:sz w:val="24"/>
        </w:rPr>
        <w:t>idf(t) = ln ( (1 + N) / (1 + df(t)) ) + 1</w:t>
        <w:tab/>
        <w:tab/>
        <w:tab/>
        <w:tab/>
        <w:tab/>
        <w:tab/>
        <w:tab/>
        <w:tab/>
        <w:t>(3.2)</w:t>
      </w:r>
    </w:p>
    <w:p>
      <w:pPr>
        <w:spacing w:line="360" w:lineRule="auto" w:after="120" w:before="0"/>
        <w:jc w:val="both"/>
      </w:pPr>
      <w:r>
        <w:t>where tf(t, d) is the frequency of term t in email d, df(t) is the number of emails in the training set that contain t, and N is the total number of emails. Equation (3.1) uses the sub-linear term-frequency scaling configured in the vectoriser, and Equation (3.2) is the smoothed inverse-document-frequency form used by the library; the resulting vectors were L2-normalised. A term that is frequent in one email but rare across all emails therefore receives a high weight, while common words receive a low weight.</w:t>
      </w:r>
    </w:p>
    <w:p>
      <w:pPr>
        <w:spacing w:line="360" w:lineRule="auto" w:after="120" w:before="0"/>
        <w:jc w:val="both"/>
      </w:pPr>
      <w:r>
        <w:rPr>
          <w:i/>
        </w:rPr>
        <w:t>Metadata features.</w:t>
      </w:r>
      <w:r>
        <w:t xml:space="preserve"> Thirteen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 Each metadata value x was standardised to z as in Equation (3.3):</w:t>
      </w:r>
    </w:p>
    <w:p>
      <w:pPr>
        <w:spacing w:before="80" w:after="80"/>
        <w:jc w:val="center"/>
      </w:pPr>
      <w:r>
        <w:rPr>
          <w:rFonts w:ascii="Cambria Math" w:hAnsi="Cambria Math"/>
          <w:sz w:val="24"/>
        </w:rPr>
        <w:t>z = ( x − μ ) / σ</w:t>
        <w:tab/>
        <w:tab/>
        <w:tab/>
        <w:tab/>
        <w:tab/>
        <w:tab/>
        <w:tab/>
        <w:tab/>
        <w:tab/>
        <w:tab/>
        <w:tab/>
        <w:t>(3.3)</w:t>
      </w:r>
    </w:p>
    <w:p>
      <w:pPr>
        <w:spacing w:line="360" w:lineRule="auto" w:after="120" w:before="0"/>
        <w:jc w:val="both"/>
      </w:pPr>
      <w:r>
        <w:t>where μ is the mean and σ the standard deviation of that signal over the training set.</w:t>
      </w:r>
    </w:p>
    <w:p>
      <w:pPr>
        <w:spacing w:line="360" w:lineRule="auto" w:after="120" w:before="0"/>
        <w:jc w:val="both"/>
      </w:pPr>
      <w:r>
        <w:rPr>
          <w:i/>
        </w:rPr>
        <w:t>Preprocessing.</w:t>
      </w:r>
      <w:r>
        <w:t xml:space="preserve"> Raw messages were parsed with the Python standard-library email package so that multipart bodies and headers were handled uniformly. Available text/plain MIME parts were extracted and the subject was prefixed to the body; when no plain-text part was available, a fallback representation of the raw message was used as the body text. Structural values were derived without reading attachment content, and no message body left the local machine. Malformed or plain-text inputs were handled by a fallback path that treated the entire input as body text and zeroed the header-derived metadata.</w:t>
      </w:r>
    </w:p>
    <w:p>
      <w:pPr>
        <w:spacing w:line="360" w:lineRule="auto" w:after="120" w:before="0"/>
        <w:jc w:val="both"/>
      </w:pPr>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 The deployed logistic-regression classifier combined the fused feature vector x into a linear score, which the logistic function converted to a spam probability, as in Equations (3.4) and (3.5):</w:t>
      </w:r>
    </w:p>
    <w:p>
      <w:pPr>
        <w:spacing w:before="80" w:after="80"/>
        <w:jc w:val="center"/>
      </w:pPr>
      <w:r>
        <w:rPr>
          <w:rFonts w:ascii="Cambria Math" w:hAnsi="Cambria Math"/>
          <w:sz w:val="24"/>
        </w:rPr>
        <w:t>z = w₀ + w₁x₁ + w₂x₂ + … + wₘxₘ</w:t>
        <w:tab/>
        <w:tab/>
        <w:tab/>
        <w:tab/>
        <w:tab/>
        <w:tab/>
        <w:tab/>
        <w:tab/>
        <w:tab/>
        <w:tab/>
        <w:t>(3.4)</w:t>
      </w:r>
    </w:p>
    <w:p>
      <w:pPr>
        <w:spacing w:before="80" w:after="80"/>
        <w:jc w:val="center"/>
      </w:pPr>
      <w:r>
        <w:rPr>
          <w:rFonts w:ascii="Cambria Math" w:hAnsi="Cambria Math"/>
          <w:sz w:val="24"/>
        </w:rPr>
        <w:t>P(spam | x) = 1 / ( 1 + e^(−z) )</w:t>
        <w:tab/>
        <w:tab/>
        <w:tab/>
        <w:tab/>
        <w:tab/>
        <w:tab/>
        <w:tab/>
        <w:tab/>
        <w:tab/>
        <w:tab/>
        <w:t>(3.5)</w:t>
      </w:r>
    </w:p>
    <w:p>
      <w:pPr>
        <w:spacing w:line="360" w:lineRule="auto" w:after="120" w:before="0"/>
        <w:jc w:val="both"/>
      </w:pPr>
      <w:r>
        <w:t>The probability was compared with a configurable decision threshold θ (0.55 by default) to produce the label, as in Equation (3.6):</w:t>
      </w:r>
    </w:p>
    <w:p>
      <w:pPr>
        <w:spacing w:before="80" w:after="80"/>
        <w:jc w:val="center"/>
      </w:pPr>
      <w:r>
        <w:rPr>
          <w:rFonts w:ascii="Cambria Math" w:hAnsi="Cambria Math"/>
          <w:sz w:val="24"/>
        </w:rPr>
        <w:t>label = { spam  if P(spam | x) ≥ θ;   legitimate  otherwise }</w:t>
        <w:tab/>
        <w:tab/>
        <w:tab/>
        <w:tab/>
        <w:tab/>
        <w:t>(3.6)</w:t>
      </w:r>
    </w:p>
    <w:p>
      <w:pPr>
        <w:spacing w:line="360" w:lineRule="auto" w:after="120" w:before="0"/>
        <w:jc w:val="both"/>
      </w:pPr>
      <w:r>
        <w:t>where w₀ is the bias term and w₁ … wₘ are the weights learned for the fused features.</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(10 of 22)</w:t>
            </w:r>
          </w:p>
          <w:p>
            <w:pPr>
              <w:spacing w:after="40"/>
            </w:pPr>
            <w:r>
              <w:rPr>
                <w:rFonts w:ascii="Times New Roman" w:hAnsi="Times New Roman"/>
                <w:color w:val="555555"/>
                <w:sz w:val="20"/>
              </w:rPr>
              <w:t>SECTION 3.4 - added plain definitions of TP/FP/FN/TN and the metrics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3.4 Evaluation Design and Performance Definitions</w:t>
      </w:r>
    </w:p>
    <w:p>
      <w:pPr>
        <w:spacing w:line="360" w:lineRule="auto" w:after="120" w:before="0"/>
        <w:jc w:val="both"/>
      </w:pPr>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The metrics were computed as in Equations (3.7) to (3.11):</w:t>
      </w:r>
    </w:p>
    <w:p>
      <w:pPr>
        <w:spacing w:before="80" w:after="80"/>
        <w:jc w:val="center"/>
      </w:pPr>
      <w:r>
        <w:rPr>
          <w:rFonts w:ascii="Cambria Math" w:hAnsi="Cambria Math"/>
          <w:sz w:val="24"/>
        </w:rPr>
        <w:t>Accuracy = ( TP + TN ) / ( TP + TN + FP + FN )</w:t>
        <w:tab/>
        <w:tab/>
        <w:tab/>
        <w:tab/>
        <w:tab/>
        <w:tab/>
        <w:tab/>
        <w:t>(3.7)</w:t>
      </w:r>
    </w:p>
    <w:p>
      <w:pPr>
        <w:spacing w:before="80" w:after="80"/>
        <w:jc w:val="center"/>
      </w:pPr>
      <w:r>
        <w:rPr>
          <w:rFonts w:ascii="Cambria Math" w:hAnsi="Cambria Math"/>
          <w:sz w:val="24"/>
        </w:rPr>
        <w:t>Precision = TP / ( TP + FP )</w:t>
        <w:tab/>
        <w:tab/>
        <w:tab/>
        <w:tab/>
        <w:tab/>
        <w:tab/>
        <w:tab/>
        <w:tab/>
        <w:tab/>
        <w:tab/>
        <w:t>(3.8)</w:t>
      </w:r>
    </w:p>
    <w:p>
      <w:pPr>
        <w:spacing w:before="80" w:after="80"/>
        <w:jc w:val="center"/>
      </w:pPr>
      <w:r>
        <w:rPr>
          <w:rFonts w:ascii="Cambria Math" w:hAnsi="Cambria Math"/>
          <w:sz w:val="24"/>
        </w:rPr>
        <w:t>Recall = TP / ( TP + FN )</w:t>
        <w:tab/>
        <w:tab/>
        <w:tab/>
        <w:tab/>
        <w:tab/>
        <w:tab/>
        <w:tab/>
        <w:tab/>
        <w:tab/>
        <w:tab/>
        <w:tab/>
        <w:t>(3.9)</w:t>
      </w:r>
    </w:p>
    <w:p>
      <w:pPr>
        <w:spacing w:before="80" w:after="80"/>
        <w:jc w:val="center"/>
      </w:pPr>
      <w:r>
        <w:rPr>
          <w:rFonts w:ascii="Cambria Math" w:hAnsi="Cambria Math"/>
          <w:sz w:val="24"/>
        </w:rPr>
        <w:t>F1 = 2 · ( Precision · Recall ) / ( Precision + Recall )</w:t>
        <w:tab/>
        <w:tab/>
        <w:tab/>
        <w:tab/>
        <w:tab/>
        <w:tab/>
        <w:t>(3.10)</w:t>
      </w:r>
    </w:p>
    <w:p>
      <w:pPr>
        <w:spacing w:before="80" w:after="80"/>
        <w:jc w:val="center"/>
      </w:pPr>
      <w:r>
        <w:rPr>
          <w:rFonts w:ascii="Cambria Math" w:hAnsi="Cambria Math"/>
          <w:sz w:val="24"/>
        </w:rPr>
        <w:t>False-positive rate = FP / ( FP + TN )</w:t>
        <w:tab/>
        <w:tab/>
        <w:tab/>
        <w:tab/>
        <w:tab/>
        <w:tab/>
        <w:tab/>
        <w:tab/>
        <w:t>(3.11)</w:t>
      </w:r>
    </w:p>
    <w:p>
      <w:pPr>
        <w:spacing w:line="360" w:lineRule="auto" w:after="120" w:before="0"/>
        <w:jc w:val="both"/>
      </w:pPr>
      <w:r>
        <w:t>A threshold sweep reported phishing recall at a low (≤5%) false-positive operating point. The receiver-operating-characteristic area under the curve (ROC-AUC) summarised the true-positive/false-positive trade-off across all thresholds, with a value of 1.0 indicating perfect ranking.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(11 of 22)</w:t>
            </w:r>
          </w:p>
          <w:p>
            <w:pPr>
              <w:spacing w:after="40"/>
            </w:pPr>
            <w:r>
              <w:rPr>
                <w:rFonts w:ascii="Times New Roman" w:hAnsi="Times New Roman"/>
                <w:color w:val="555555"/>
                <w:sz w:val="20"/>
              </w:rPr>
              <w:t>SECTION 4.1 - fixed broken sentence / removed code names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4.1 System Block Diagram</w:t>
      </w:r>
    </w:p>
    <w:p>
      <w:pPr>
        <w:spacing w:line="360" w:lineRule="auto" w:after="120" w:before="0"/>
        <w:jc w:val="both"/>
      </w:pPr>
      <w:r>
        <w:t>The system comprised five top-level blocks, shown in Figure 4.1:</w:t>
      </w:r>
    </w:p>
    <w:p>
      <w:pPr>
        <w:spacing w:line="360" w:lineRule="auto" w:after="120" w:before="0"/>
        <w:jc w:val="both"/>
      </w:pPr>
      <w:r>
        <w:t xml:space="preserve">1. </w:t>
      </w:r>
      <w:r>
        <w:rPr>
          <w:b/>
        </w:rPr>
        <w:t>Ingestion</w:t>
      </w:r>
      <w:r>
        <w:t xml:space="preserve"> — a request to the detection service, a mailbox folder watcher, or a local file. 2. </w:t>
      </w:r>
      <w:r>
        <w:rPr>
          <w:b/>
        </w:rPr>
        <w:t>Parsing and feature extraction</w:t>
      </w:r>
      <w:r>
        <w:t xml:space="preserve"> — robust RFC-5322 parsing producing content text and the thirteen metadata signals, with crash-safe handling of malformed mail. 3. </w:t>
      </w:r>
      <w:r>
        <w:rPr>
          <w:b/>
        </w:rPr>
        <w:t>Fusion classifier</w:t>
      </w:r>
      <w:r>
        <w:t xml:space="preserve"> — the word/character/metadata feature union, standardisation and the logistic-regression classifier. 4. </w:t>
      </w:r>
      <w:r>
        <w:rPr>
          <w:b/>
        </w:rPr>
        <w:t>Action and decision</w:t>
      </w:r>
      <w:r>
        <w:t xml:space="preserve"> — threshold comparison, labelling, quarantine and signal explanation. 5. </w:t>
      </w:r>
      <w:r>
        <w:rPr>
          <w:b/>
        </w:rPr>
        <w:t>Adaptation</w:t>
      </w:r>
      <w:r>
        <w:t xml:space="preserve"> — the review queue, feedback store and scheduled retraining path.</w:t>
      </w:r>
    </w:p>
    <w:p>
      <w:pPr>
        <w:spacing w:before="120" w:after="40"/>
        <w:jc w:val="center"/>
      </w:pPr>
      <w:r>
        <w:drawing>
          <wp:inline xmlns:a="http://schemas.openxmlformats.org/drawingml/2006/main" xmlns:pic="http://schemas.openxmlformats.org/drawingml/2006/picture">
            <wp:extent cx="5303520" cy="3335635"/>
            <wp:docPr id="5" name="Picture 5"/>
            <wp:cNvGraphicFramePr>
              <a:graphicFrameLocks noChangeAspect="1"/>
            </wp:cNvGraphicFramePr>
            <a:graphic>
              <a:graphicData uri="http://schemas.openxmlformats.org/drawingml/2006/picture">
                <pic:pic>
                  <pic:nvPicPr>
                    <pic:cNvPr id="0" name="fig4_1_block_diagram.png"/>
                    <pic:cNvPicPr/>
                  </pic:nvPicPr>
                  <pic:blipFill>
                    <a:blip r:embed="rId13"/>
                    <a:stretch>
                      <a:fillRect/>
                    </a:stretch>
                  </pic:blipFill>
                  <pic:spPr>
                    <a:xfrm>
                      <a:off x="0" y="0"/>
                      <a:ext cx="5303520" cy="3335635"/>
                    </a:xfrm>
                    <a:prstGeom prst="rect"/>
                  </pic:spPr>
                </pic:pic>
              </a:graphicData>
            </a:graphic>
          </wp:inline>
        </w:drawing>
      </w:r>
    </w:p>
    <w:p>
      <w:pPr>
        <w:spacing w:after="160"/>
        <w:jc w:val="center"/>
      </w:pPr>
      <w:r>
        <w:rPr>
          <w:rFonts w:ascii="Times New Roman" w:hAnsi="Times New Roman"/>
          <w:i/>
          <w:color w:val="555555"/>
          <w:sz w:val="18"/>
        </w:rPr>
        <w:t>Figure 4.1: System block diagram of the five main blocks</w:t>
      </w:r>
    </w:p>
    <w:p>
      <w:pPr>
        <w:spacing w:line="360" w:lineRule="auto" w:after="120" w:before="0"/>
        <w:jc w:val="both"/>
      </w:pPr>
      <w:r>
        <w:t>Each block was implemented as an independent, testable module within the detector package, which allowed individual stages to be updated and retrained without rebuilding the whole pipeline. The following section specifies each block in turn.</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(12 of 22)</w:t>
            </w:r>
          </w:p>
          <w:p>
            <w:pPr>
              <w:spacing w:after="40"/>
            </w:pPr>
            <w:r>
              <w:rPr>
                <w:rFonts w:ascii="Times New Roman" w:hAnsi="Times New Roman"/>
                <w:color w:val="555555"/>
                <w:sz w:val="20"/>
              </w:rPr>
              <w:t>SECTION 4.2 - RESTRUCTURED: overview Table 4.1 + new subsections 4.2.1-4.2.5</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4.2 System Components Specifications</w:t>
      </w:r>
    </w:p>
    <w:p>
      <w:pPr>
        <w:spacing w:line="360" w:lineRule="auto" w:after="120" w:before="0"/>
        <w:jc w:val="both"/>
      </w:pPr>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line="360" w:lineRule="auto" w:after="120" w:before="0"/>
        <w:jc w:val="both"/>
      </w:pPr>
      <w:r>
        <w:rPr>
          <w:b/>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thirteen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Pr>
        <w:pStyle w:val="Heading3"/>
        <w:spacing w:before="200" w:after="120"/>
      </w:pPr>
      <w:r>
        <w:t>4.2.1 Data Ingestion and Preparation</w:t>
      </w:r>
    </w:p>
    <w:p>
      <w:pPr>
        <w:spacing w:line="360" w:lineRule="auto" w:after="120" w:before="0"/>
        <w:jc w:val="both"/>
      </w:pPr>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3"/>
        <w:spacing w:before="200" w:after="120"/>
      </w:pPr>
      <w:r>
        <w:t>4.2.2 Email Parsing and Feature Extraction</w:t>
      </w:r>
    </w:p>
    <w:p>
      <w:pPr>
        <w:spacing w:line="360" w:lineRule="auto" w:after="120" w:before="0"/>
        <w:jc w:val="both"/>
      </w:pPr>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thirteen structural metadata signals described in Section 4.3.</w:t>
      </w:r>
    </w:p>
    <w:p>
      <w:pPr>
        <w:pStyle w:val="Heading3"/>
        <w:spacing w:before="200" w:after="120"/>
      </w:pPr>
      <w:r>
        <w:t>4.2.3 Fusion Classification Engine</w:t>
      </w:r>
    </w:p>
    <w:p>
      <w:pPr>
        <w:spacing w:line="360" w:lineRule="auto" w:after="120" w:before="0"/>
        <w:jc w:val="both"/>
      </w:pPr>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thirteen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3"/>
        <w:spacing w:before="200" w:after="120"/>
      </w:pPr>
      <w:r>
        <w:t>4.2.4 Detection Service and Mailbox Scanner</w:t>
      </w:r>
    </w:p>
    <w:p>
      <w:pPr>
        <w:spacing w:line="360" w:lineRule="auto" w:after="120" w:before="0"/>
        <w:jc w:val="both"/>
      </w:pPr>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3"/>
        <w:spacing w:before="200" w:after="120"/>
      </w:pPr>
      <w:r>
        <w:t>4.2.5 Review, Feedback and Adaptive Retraining</w:t>
      </w:r>
    </w:p>
    <w:p>
      <w:pPr>
        <w:spacing w:line="360" w:lineRule="auto" w:after="120" w:before="0"/>
        <w:jc w:val="both"/>
      </w:pPr>
      <w:r>
        <w:t>The adaptation block closed the learning loop. When a reviewer corrected a decision in the console, the correction was saved as a labelled example in the feedback store. A scheduled retraining stage merged these reviewed labels with the original training data and fitted a new model, which was then evaluated on the held-out split before further use so that its effect on both the main corpus and the target threat could be measured. Retraining in scheduled batches rather than continuously prevented a small batch of feedback from silently degrading the detector, and it distinguished the system from both a static model and an uncontrolled online-learning loop.</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(13 of 22)</w:t>
            </w:r>
          </w:p>
          <w:p>
            <w:pPr>
              <w:spacing w:after="40"/>
            </w:pPr>
            <w:r>
              <w:rPr>
                <w:rFonts w:ascii="Times New Roman" w:hAnsi="Times New Roman"/>
                <w:color w:val="555555"/>
                <w:sz w:val="20"/>
              </w:rPr>
              <w:t>SECTION 4.3 - Table 4.2 signals in plain English; code snippets removed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4.3 Data and Feature Design</w:t>
      </w:r>
    </w:p>
    <w:p>
      <w:pPr>
        <w:spacing w:line="360" w:lineRule="auto" w:after="120" w:before="0"/>
        <w:jc w:val="both"/>
      </w:pPr>
      <w:r>
        <w:t>The thirteen structural metadata signals are defined in Table 4.2.</w:t>
      </w:r>
    </w:p>
    <w:p>
      <w:pPr>
        <w:spacing w:line="360" w:lineRule="auto" w:after="120" w:before="0"/>
        <w:jc w:val="both"/>
      </w:pPr>
      <w:r>
        <w:rPr>
          <w:b/>
        </w:rPr>
        <w:t>Table 4.2 — The thirteen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Exclamation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exclamation marks in the subject and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term count</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urgent or verification-related terms (eleven-term list) found in the subject and body.</w:t>
            </w:r>
          </w:p>
        </w:tc>
      </w:tr>
    </w:tbl>
    <w:p>
      <w:pPr>
        <w:spacing w:line="360" w:lineRule="auto" w:after="120" w:before="0"/>
        <w:jc w:val="both"/>
      </w:pPr>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thirteen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(14 of 22)</w:t>
            </w:r>
          </w:p>
          <w:p>
            <w:pPr>
              <w:spacing w:after="40"/>
            </w:pPr>
            <w:r>
              <w:rPr>
                <w:rFonts w:ascii="Times New Roman" w:hAnsi="Times New Roman"/>
                <w:color w:val="555555"/>
                <w:sz w:val="20"/>
              </w:rPr>
              <w:t>SECTION 4.4 - removed 'one-line commands' phrase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4.4 System Components Interaction Operations</w:t>
      </w:r>
    </w:p>
    <w:p>
      <w:pPr>
        <w:spacing w:line="360" w:lineRule="auto" w:after="120" w:before="0"/>
        <w:jc w:val="both"/>
      </w:pPr>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(15 of 22)</w:t>
            </w:r>
          </w:p>
          <w:p>
            <w:pPr>
              <w:spacing w:after="40"/>
            </w:pPr>
            <w:r>
              <w:rPr>
                <w:rFonts w:ascii="Times New Roman" w:hAnsi="Times New Roman"/>
                <w:color w:val="555555"/>
                <w:sz w:val="20"/>
              </w:rPr>
              <w:t>CHAPTER 5 - opener + 5.1 Hardware + 5.2 Software + 5.3 Config + 5.4 Operation</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5: SYSTEM IMPLEMENTATION</w:t>
      </w:r>
    </w:p>
    <w:p>
      <w:pPr>
        <w:spacing w:line="360" w:lineRule="auto" w:after="120" w:before="0"/>
        <w:jc w:val="both"/>
      </w:pPr>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2"/>
        <w:spacing w:before="200" w:after="120"/>
      </w:pPr>
      <w:r>
        <w:t>5.1 Hardware Setup</w:t>
      </w:r>
    </w:p>
    <w:p>
      <w:pPr>
        <w:spacing w:line="360" w:lineRule="auto" w:after="120" w:before="0"/>
        <w:jc w:val="both"/>
      </w:pPr>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line="360" w:lineRule="auto" w:after="120" w:before="0"/>
        <w:jc w:val="both"/>
      </w:pPr>
      <w:r>
        <w:rPr>
          <w:b/>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Pr>
        <w:spacing w:line="360" w:lineRule="auto" w:after="120" w:before="0"/>
        <w:jc w:val="both"/>
      </w:pPr>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pStyle w:val="Heading2"/>
        <w:spacing w:before="200" w:after="120"/>
      </w:pPr>
      <w:r>
        <w:t>5.2 Software Setup</w:t>
      </w:r>
    </w:p>
    <w:p>
      <w:pPr>
        <w:spacing w:line="360" w:lineRule="auto" w:after="120" w:before="0"/>
        <w:jc w:val="both"/>
      </w:pPr>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line="360" w:lineRule="auto" w:after="120" w:before="0"/>
        <w:jc w:val="both"/>
      </w:pPr>
      <w:r>
        <w:rPr>
          <w:b/>
        </w:rPr>
        <w:t>Table 5.2 — Software and libraries used in the project.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Software / package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Version</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w:t>
            </w:r>
          </w:p>
        </w:tc>
        <w:tc>
          <w:tcPr>
            <w:tcW w:type="dxa" w:w="3024"/>
          </w:tcPr>
          <w:p>
            <w:pPr>
              <w:spacing w:line="240" w:lineRule="auto" w:after="40"/>
              <w:jc w:val="left"/>
            </w:pPr>
            <w:r>
              <w:rPr>
                <w:rFonts w:ascii="Times New Roman" w:hAnsi="Times New Roman"/>
                <w:sz w:val="21"/>
              </w:rPr>
            </w:r>
            <w:r>
              <w:rPr>
                <w:rFonts w:ascii="Times New Roman" w:hAnsi="Times New Roman"/>
                <w:sz w:val="21"/>
              </w:rPr>
              <w:t>3.13</w:t>
            </w:r>
          </w:p>
        </w:tc>
        <w:tc>
          <w:tcPr>
            <w:tcW w:type="dxa" w:w="3024"/>
          </w:tcPr>
          <w:p>
            <w:pPr>
              <w:spacing w:line="240" w:lineRule="auto" w:after="40"/>
              <w:jc w:val="left"/>
            </w:pPr>
            <w:r>
              <w:rPr>
                <w:rFonts w:ascii="Times New Roman" w:hAnsi="Times New Roman"/>
                <w:sz w:val="21"/>
              </w:rPr>
            </w:r>
            <w:r>
              <w:rPr>
                <w:rFonts w:ascii="Times New Roman" w:hAnsi="Times New Roman"/>
                <w:sz w:val="21"/>
              </w:rPr>
              <w:t>Main programming language for the detector, the service and the evaluation scripts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pip</w:t>
            </w:r>
          </w:p>
        </w:tc>
        <w:tc>
          <w:tcPr>
            <w:tcW w:type="dxa" w:w="3024"/>
          </w:tcPr>
          <w:p>
            <w:pPr>
              <w:spacing w:line="240" w:lineRule="auto" w:after="40"/>
              <w:jc w:val="left"/>
            </w:pPr>
            <w:r>
              <w:rPr>
                <w:rFonts w:ascii="Times New Roman" w:hAnsi="Times New Roman"/>
                <w:sz w:val="21"/>
              </w:rPr>
            </w:r>
            <w:r>
              <w:rPr>
                <w:rFonts w:ascii="Times New Roman" w:hAnsi="Times New Roman"/>
                <w:sz w:val="21"/>
              </w:rPr>
              <w:t>26.2.1</w:t>
            </w:r>
          </w:p>
        </w:tc>
        <w:tc>
          <w:tcPr>
            <w:tcW w:type="dxa" w:w="3024"/>
          </w:tcPr>
          <w:p>
            <w:pPr>
              <w:spacing w:line="240" w:lineRule="auto" w:after="40"/>
              <w:jc w:val="left"/>
            </w:pPr>
            <w:r>
              <w:rPr>
                <w:rFonts w:ascii="Times New Roman" w:hAnsi="Times New Roman"/>
                <w:sz w:val="21"/>
              </w:rPr>
            </w:r>
            <w:r>
              <w:rPr>
                <w:rFonts w:ascii="Times New Roman" w:hAnsi="Times New Roman"/>
                <w:sz w:val="21"/>
              </w:rPr>
              <w:t>Package manager used to install the required libraries from the requirements file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scikit-learn</w:t>
            </w:r>
          </w:p>
        </w:tc>
        <w:tc>
          <w:tcPr>
            <w:tcW w:type="dxa" w:w="3024"/>
          </w:tcPr>
          <w:p>
            <w:pPr>
              <w:spacing w:line="240" w:lineRule="auto" w:after="40"/>
              <w:jc w:val="left"/>
            </w:pPr>
            <w:r>
              <w:rPr>
                <w:rFonts w:ascii="Times New Roman" w:hAnsi="Times New Roman"/>
                <w:sz w:val="21"/>
              </w:rPr>
            </w:r>
            <w:r>
              <w:rPr>
                <w:rFonts w:ascii="Times New Roman" w:hAnsi="Times New Roman"/>
                <w:sz w:val="21"/>
              </w:rPr>
              <w:t>1.9.0</w:t>
            </w:r>
          </w:p>
        </w:tc>
        <w:tc>
          <w:tcPr>
            <w:tcW w:type="dxa" w:w="3024"/>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Naïve Bayes, logistic regression, support-vector machine and feature scaling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NumPy</w:t>
            </w:r>
          </w:p>
        </w:tc>
        <w:tc>
          <w:tcPr>
            <w:tcW w:type="dxa" w:w="3024"/>
          </w:tcPr>
          <w:p>
            <w:pPr>
              <w:spacing w:line="240" w:lineRule="auto" w:after="40"/>
              <w:jc w:val="left"/>
            </w:pPr>
            <w:r>
              <w:rPr>
                <w:rFonts w:ascii="Times New Roman" w:hAnsi="Times New Roman"/>
                <w:sz w:val="21"/>
              </w:rPr>
            </w:r>
            <w:r>
              <w:rPr>
                <w:rFonts w:ascii="Times New Roman" w:hAnsi="Times New Roman"/>
                <w:sz w:val="21"/>
              </w:rPr>
              <w:t>2.5.2</w:t>
            </w:r>
          </w:p>
        </w:tc>
        <w:tc>
          <w:tcPr>
            <w:tcW w:type="dxa" w:w="3024"/>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SciPy</w:t>
            </w:r>
          </w:p>
        </w:tc>
        <w:tc>
          <w:tcPr>
            <w:tcW w:type="dxa" w:w="3024"/>
          </w:tcPr>
          <w:p>
            <w:pPr>
              <w:spacing w:line="240" w:lineRule="auto" w:after="40"/>
              <w:jc w:val="left"/>
            </w:pPr>
            <w:r>
              <w:rPr>
                <w:rFonts w:ascii="Times New Roman" w:hAnsi="Times New Roman"/>
                <w:sz w:val="21"/>
              </w:rPr>
            </w:r>
            <w:r>
              <w:rPr>
                <w:rFonts w:ascii="Times New Roman" w:hAnsi="Times New Roman"/>
                <w:sz w:val="21"/>
              </w:rPr>
              <w:t>1.18.1</w:t>
            </w:r>
          </w:p>
        </w:tc>
        <w:tc>
          <w:tcPr>
            <w:tcW w:type="dxa" w:w="3024"/>
          </w:tcPr>
          <w:p>
            <w:pPr>
              <w:spacing w:line="240" w:lineRule="auto" w:after="40"/>
              <w:jc w:val="left"/>
            </w:pPr>
            <w:r>
              <w:rPr>
                <w:rFonts w:ascii="Times New Roman" w:hAnsi="Times New Roman"/>
                <w:sz w:val="21"/>
              </w:rPr>
            </w:r>
            <w:r>
              <w:rPr>
                <w:rFonts w:ascii="Times New Roman" w:hAnsi="Times New Roman"/>
                <w:sz w:val="21"/>
              </w:rPr>
              <w:t>Sparse-matrix and scientific routines relied on by scikit-learn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Joblib</w:t>
            </w:r>
          </w:p>
        </w:tc>
        <w:tc>
          <w:tcPr>
            <w:tcW w:type="dxa" w:w="3024"/>
          </w:tcPr>
          <w:p>
            <w:pPr>
              <w:spacing w:line="240" w:lineRule="auto" w:after="40"/>
              <w:jc w:val="left"/>
            </w:pPr>
            <w:r>
              <w:rPr>
                <w:rFonts w:ascii="Times New Roman" w:hAnsi="Times New Roman"/>
                <w:sz w:val="21"/>
              </w:rPr>
            </w:r>
            <w:r>
              <w:rPr>
                <w:rFonts w:ascii="Times New Roman" w:hAnsi="Times New Roman"/>
                <w:sz w:val="21"/>
              </w:rPr>
              <w:t>1.5.3</w:t>
            </w:r>
          </w:p>
        </w:tc>
        <w:tc>
          <w:tcPr>
            <w:tcW w:type="dxa" w:w="3024"/>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FastAPI</w:t>
            </w:r>
          </w:p>
        </w:tc>
        <w:tc>
          <w:tcPr>
            <w:tcW w:type="dxa" w:w="3024"/>
          </w:tcPr>
          <w:p>
            <w:pPr>
              <w:spacing w:line="240" w:lineRule="auto" w:after="40"/>
              <w:jc w:val="left"/>
            </w:pPr>
            <w:r>
              <w:rPr>
                <w:rFonts w:ascii="Times New Roman" w:hAnsi="Times New Roman"/>
                <w:sz w:val="21"/>
              </w:rPr>
            </w:r>
            <w:r>
              <w:rPr>
                <w:rFonts w:ascii="Times New Roman" w:hAnsi="Times New Roman"/>
                <w:sz w:val="21"/>
              </w:rPr>
              <w:t>0.141.1</w:t>
            </w:r>
          </w:p>
        </w:tc>
        <w:tc>
          <w:tcPr>
            <w:tcW w:type="dxa" w:w="3024"/>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Uvicorn</w:t>
            </w:r>
          </w:p>
        </w:tc>
        <w:tc>
          <w:tcPr>
            <w:tcW w:type="dxa" w:w="3024"/>
          </w:tcPr>
          <w:p>
            <w:pPr>
              <w:spacing w:line="240" w:lineRule="auto" w:after="40"/>
              <w:jc w:val="left"/>
            </w:pPr>
            <w:r>
              <w:rPr>
                <w:rFonts w:ascii="Times New Roman" w:hAnsi="Times New Roman"/>
                <w:sz w:val="21"/>
              </w:rPr>
            </w:r>
            <w:r>
              <w:rPr>
                <w:rFonts w:ascii="Times New Roman" w:hAnsi="Times New Roman"/>
                <w:sz w:val="21"/>
              </w:rPr>
              <w:t>0.52.4</w:t>
            </w:r>
          </w:p>
        </w:tc>
        <w:tc>
          <w:tcPr>
            <w:tcW w:type="dxa" w:w="3024"/>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Pydantic</w:t>
            </w:r>
          </w:p>
        </w:tc>
        <w:tc>
          <w:tcPr>
            <w:tcW w:type="dxa" w:w="3024"/>
          </w:tcPr>
          <w:p>
            <w:pPr>
              <w:spacing w:line="240" w:lineRule="auto" w:after="40"/>
              <w:jc w:val="left"/>
            </w:pPr>
            <w:r>
              <w:rPr>
                <w:rFonts w:ascii="Times New Roman" w:hAnsi="Times New Roman"/>
                <w:sz w:val="21"/>
              </w:rPr>
            </w:r>
            <w:r>
              <w:rPr>
                <w:rFonts w:ascii="Times New Roman" w:hAnsi="Times New Roman"/>
                <w:sz w:val="21"/>
              </w:rPr>
              <w:t>2.13.4</w:t>
            </w:r>
          </w:p>
        </w:tc>
        <w:tc>
          <w:tcPr>
            <w:tcW w:type="dxa" w:w="3024"/>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Matplotlib</w:t>
            </w:r>
          </w:p>
        </w:tc>
        <w:tc>
          <w:tcPr>
            <w:tcW w:type="dxa" w:w="3024"/>
          </w:tcPr>
          <w:p>
            <w:pPr>
              <w:spacing w:line="240" w:lineRule="auto" w:after="40"/>
              <w:jc w:val="left"/>
            </w:pPr>
            <w:r>
              <w:rPr>
                <w:rFonts w:ascii="Times New Roman" w:hAnsi="Times New Roman"/>
                <w:sz w:val="21"/>
              </w:rPr>
            </w:r>
            <w:r>
              <w:rPr>
                <w:rFonts w:ascii="Times New Roman" w:hAnsi="Times New Roman"/>
                <w:sz w:val="21"/>
              </w:rPr>
              <w:t>3.11.1</w:t>
            </w:r>
          </w:p>
        </w:tc>
        <w:tc>
          <w:tcPr>
            <w:tcW w:type="dxa" w:w="3024"/>
          </w:tcPr>
          <w:p>
            <w:pPr>
              <w:spacing w:line="240" w:lineRule="auto" w:after="40"/>
              <w:jc w:val="left"/>
            </w:pPr>
            <w:r>
              <w:rPr>
                <w:rFonts w:ascii="Times New Roman" w:hAnsi="Times New Roman"/>
                <w:sz w:val="21"/>
              </w:rPr>
            </w:r>
            <w:r>
              <w:rPr>
                <w:rFonts w:ascii="Times New Roman" w:hAnsi="Times New Roman"/>
                <w:sz w:val="21"/>
              </w:rPr>
              <w:t>Plots the evaluation and benchmarking results (classifier-comparison charts, ROC curves and the confusion matrix) used in the performance analysis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Python standard library (email, csv, re, urllib, pathlib, argparse, shutil, imaplib and others)</w:t>
            </w:r>
          </w:p>
        </w:tc>
        <w:tc>
          <w:tcPr>
            <w:tcW w:type="dxa" w:w="3024"/>
          </w:tcPr>
          <w:p>
            <w:pPr>
              <w:spacing w:line="240" w:lineRule="auto" w:after="40"/>
              <w:jc w:val="left"/>
            </w:pPr>
            <w:r>
              <w:rPr>
                <w:rFonts w:ascii="Times New Roman" w:hAnsi="Times New Roman"/>
                <w:sz w:val="21"/>
              </w:rPr>
            </w:r>
            <w:r>
              <w:rPr>
                <w:rFonts w:ascii="Times New Roman" w:hAnsi="Times New Roman"/>
                <w:sz w:val="21"/>
              </w:rPr>
              <w:t>built-in</w:t>
            </w:r>
          </w:p>
        </w:tc>
        <w:tc>
          <w:tcPr>
            <w:tcW w:type="dxa" w:w="3024"/>
          </w:tcPr>
          <w:p>
            <w:pPr>
              <w:spacing w:line="240" w:lineRule="auto" w:after="40"/>
              <w:jc w:val="left"/>
            </w:pPr>
            <w:r>
              <w:rPr>
                <w:rFonts w:ascii="Times New Roman" w:hAnsi="Times New Roman"/>
                <w:sz w:val="21"/>
              </w:rPr>
            </w:r>
            <w:r>
              <w:rPr>
                <w:rFonts w:ascii="Times New Roman" w:hAnsi="Times New Roman"/>
                <w:sz w:val="21"/>
              </w:rPr>
              <w:t>RFC-5322 email parsing, dataset and review-queue file handling, regular expressions, URL parsing, folder and command-line operations, quarantine moves and the secure live-mailbox connection</w:t>
            </w:r>
          </w:p>
        </w:tc>
      </w:tr>
    </w:tbl>
    <w:p>
      <w:pPr>
        <w:spacing w:line="360" w:lineRule="auto" w:after="120" w:before="0"/>
        <w:jc w:val="both"/>
      </w:pPr>
      <w:r>
        <w:t>Table 5.2 lists the primary libraries the detection, evaluation and benchmarking work was built on. The performance measures themselves (accuracy, precision, recall, F1 score and latency) were computed with scikit-learn, while Matplotlib was used to visualise those results. The additional packages shown by the package manager (such as Starlette, AnyIO, Click, h11, httptools, watchfiles, websockets, pydantic-core, lxml, contourpy, kiwisolver and pillow) are supporting dependencies installed automatically alongside FastAPI, Uvicorn, scikit-learn and Matplotlib, rather than components used directly. A separate document-generation library was used only to assemble this report document and formed no part of the detection system. The virtual environment and the successful installation of the libraries are shown in Figure 5.1.</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5.1: Software and virtual-environment setup</w:t>
            </w:r>
          </w:p>
        </w:tc>
      </w:tr>
    </w:tbl>
    <w:p>
      <w:pPr>
        <w:spacing w:line="360" w:lineRule="auto" w:after="120" w:before="0"/>
        <w:jc w:val="both"/>
      </w:pPr>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2"/>
        <w:spacing w:before="200" w:after="120"/>
      </w:pPr>
      <w:r>
        <w:t>5.3 Setting and Configuration</w:t>
      </w:r>
    </w:p>
    <w:p>
      <w:pPr>
        <w:spacing w:line="360" w:lineRule="auto" w:after="120" w:before="0"/>
        <w:jc w:val="both"/>
      </w:pPr>
      <w:r>
        <w:t>This section outlines the configuration steps required to prepare the environment, train the detector and connect it to a mailbox so that incoming messages are scored automatically. No paid service, cloud classification API or third-party scanning key was required: all classification is performed locally by the trained model, and the only credential involved is the mail-account application password used to read the mailbox. Each step below was performed once and is reproducible on any machine with Python installed.</w:t>
      </w:r>
    </w:p>
    <w:p>
      <w:pPr>
        <w:pStyle w:val="Heading3"/>
        <w:spacing w:before="200" w:after="120"/>
      </w:pPr>
      <w:r>
        <w:t>5.3.1 Python Environment Configuration</w:t>
      </w:r>
    </w:p>
    <w:p>
      <w:pPr>
        <w:spacing w:line="360" w:lineRule="auto" w:after="120" w:before="0"/>
        <w:jc w:val="both"/>
      </w:pPr>
      <w:r>
        <w:t xml:space="preserve">1. </w:t>
      </w:r>
      <w:r>
        <w:rPr>
          <w:b/>
        </w:rPr>
        <w:t>Install Python 3.13</w:t>
      </w:r>
      <w:r>
        <w:t xml:space="preserve"> for Windows from python.org, selecting "Add python.exe to PATH". 2. </w:t>
      </w:r>
      <w:r>
        <w:rPr>
          <w:b/>
        </w:rPr>
        <w:t>Create the project virtual environment</w:t>
      </w:r>
      <w:r>
        <w:t xml:space="preserve"> in the project folder so that the libraries are isolated from the system installation: python -m venv .venv 3. </w:t>
      </w:r>
      <w:r>
        <w:rPr>
          <w:b/>
        </w:rPr>
        <w:t>Activate the environment</w:t>
      </w:r>
      <w:r>
        <w:t xml:space="preserve">: .venv\Scripts\activate (the prompt is then prefixed with (.venv)). 4. </w:t>
      </w:r>
      <w:r>
        <w:rPr>
          <w:b/>
        </w:rPr>
        <w:t>Install the required libraries</w:t>
      </w:r>
      <w:r>
        <w:t xml:space="preserve">: pip install -r requirements.txt, which installs scikit-learn, FastAPI, Uvicorn, pandas, Matplotlib and Joblib together with their dependencies. 5. </w:t>
      </w:r>
      <w:r>
        <w:rPr>
          <w:b/>
        </w:rPr>
        <w:t>Verify the installation</w:t>
      </w:r>
      <w:r>
        <w:t xml:space="preserve"> with pip list, as shown in Figure 5.1.</w:t>
      </w:r>
    </w:p>
    <w:p>
      <w:pPr>
        <w:spacing w:line="360" w:lineRule="auto" w:after="120" w:before="0"/>
        <w:jc w:val="both"/>
      </w:pPr>
      <w:r>
        <w:t>No configuration file, environment variable or administrator privilege is required for this stage.</w:t>
      </w:r>
    </w:p>
    <w:p>
      <w:pPr>
        <w:pStyle w:val="Heading3"/>
        <w:spacing w:before="200" w:after="120"/>
      </w:pPr>
      <w:r>
        <w:t>5.3.2 Detector Configuration</w:t>
      </w:r>
    </w:p>
    <w:p>
      <w:pPr>
        <w:spacing w:line="360" w:lineRule="auto" w:after="120" w:before="0"/>
        <w:jc w:val="both"/>
      </w:pPr>
      <w:r>
        <w:t>The classifier settings were fixed at training time and are stored inside the saved model file, so the mailbox connector and the service load an identical predictor. The deployed decision threshold defaulted to 0.55 and was re-tuned per deployment using the threshold sweep; lowering the threshold increased recall at the cost of more false positives, which was useful when prioritising catch rate for AI-style mail. Table 5.3 lists the model and feature hyper-parameters.</w:t>
      </w:r>
    </w:p>
    <w:p>
      <w:pPr>
        <w:spacing w:line="360" w:lineRule="auto" w:after="120" w:before="0"/>
        <w:jc w:val="both"/>
      </w:pPr>
      <w:r>
        <w:rPr>
          <w:b/>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Pr>
        <w:spacing w:line="360" w:lineRule="auto" w:after="120" w:before="0"/>
        <w:jc w:val="both"/>
      </w:pPr>
      <w:r>
        <w:t>In plain terms, the word and character TF-IDF rows controlled how the email text was turned into numbers: single words and two-word pairs (and three-to-five-character fragments) were counted, up to a fixed vocabulary size, with very frequent words dampened. The dictionary vectoriser turned the thirteen metadata signals into numerical features, and the standard scaler rescaled those signals so that a raw value such as body length could not outweigh the word features. The classifier used class-balanced weighting so that the spam and legitimate classes were treated fairly even if one was more common, with a regularisation strength of C = 1.5. The decision threshold of 0.55 meant an email was flagged as spam only when the model's spam probability exceeded 0.55; lowering it caught more spam but produced more false positives, and the threshold sweep used in evaluation chose a suitable operating point. A fixed random seed ensured that the same training run could be reproduced exactly.</w:t>
      </w:r>
    </w:p>
    <w:p>
      <w:pPr>
        <w:pStyle w:val="Heading3"/>
        <w:spacing w:before="200" w:after="120"/>
      </w:pPr>
      <w:r>
        <w:t>5.3.3 Mail-Account Configuration for Live Filtering</w:t>
      </w:r>
    </w:p>
    <w:p>
      <w:pPr>
        <w:spacing w:line="360" w:lineRule="auto" w:after="120" w:before="0"/>
        <w:jc w:val="both"/>
      </w:pPr>
      <w:r>
        <w:t>To filter real incoming mail rather than pasted samples, the detector connects to a mail account over the Internet Message Access Protocol (IMAP), the same protocol ordinary mail clients use to read mail. A dedicated test account was used throughout, so that no third party's private correspondence was processed. The account was prepared as follows:</w:t>
      </w:r>
    </w:p>
    <w:p>
      <w:pPr>
        <w:spacing w:line="360" w:lineRule="auto" w:after="120" w:before="0"/>
        <w:jc w:val="both"/>
      </w:pPr>
      <w:r>
        <w:t xml:space="preserve">1. </w:t>
      </w:r>
      <w:r>
        <w:rPr>
          <w:b/>
        </w:rPr>
        <w:t>Create a dedicated test mail account</w:t>
      </w:r>
      <w:r>
        <w:t xml:space="preserve"> used only for this project, so that no personal or third-party mail is read by the system. 2. </w:t>
      </w:r>
      <w:r>
        <w:rPr>
          <w:b/>
        </w:rPr>
        <w:t>Enable two-step verification</w:t>
      </w:r>
      <w:r>
        <w:t xml:space="preserve"> on that account, which is a prerequisite for issuing an application password. 3. </w:t>
      </w:r>
      <w:r>
        <w:rPr>
          <w:b/>
        </w:rPr>
        <w:t>Generate an application password</w:t>
      </w:r>
      <w:r>
        <w:t xml:space="preserve">: in the account security settings, create a sixteen- character application password for the connector. The ordinary login password is never used and is never stored by the system. 4. </w:t>
      </w:r>
      <w:r>
        <w:rPr>
          <w:b/>
        </w:rPr>
        <w:t>Enable IMAP access</w:t>
      </w:r>
      <w:r>
        <w:t xml:space="preserve"> in the mail account settings so that external clients may read the mailbox. 5. </w:t>
      </w:r>
      <w:r>
        <w:rPr>
          <w:b/>
        </w:rPr>
        <w:t>Supply the credentials as environment variables</w:t>
      </w:r>
      <w:r>
        <w:t xml:space="preserve"> rather than editing any source file, so that no password is written into the code or the report:</w:t>
      </w:r>
    </w:p>
    <w:p>
      <w:pPr>
        <w:spacing w:after="0" w:line="240" w:lineRule="auto"/>
      </w:pPr>
      <w:r>
        <w:rPr>
          <w:rFonts w:ascii="Consolas" w:hAnsi="Consolas"/>
          <w:color w:val="222222"/>
          <w:sz w:val="18"/>
        </w:rPr>
        <w:t>$env:IMAP_USER = "the test address"</w:t>
      </w:r>
    </w:p>
    <w:p>
      <w:pPr>
        <w:spacing w:after="120" w:line="240" w:lineRule="auto"/>
      </w:pPr>
      <w:r>
        <w:rPr>
          <w:rFonts w:ascii="Consolas" w:hAnsi="Consolas"/>
          <w:color w:val="222222"/>
          <w:sz w:val="18"/>
        </w:rPr>
        <w:t>$env:IMAP_PASS = "the sixteen-character application password"</w:t>
      </w:r>
    </w:p>
    <w:p>
      <w:pPr>
        <w:spacing w:line="360" w:lineRule="auto" w:after="120" w:before="0"/>
        <w:jc w:val="both"/>
      </w:pPr>
      <w:r>
        <w:t xml:space="preserve">6. </w:t>
      </w:r>
      <w:r>
        <w:rPr>
          <w:b/>
        </w:rPr>
        <w:t>Run a read-only check first.</w:t>
      </w:r>
      <w:r>
        <w:t xml:space="preserve"> The connector defaults to report mode, in which messages are scored and logged but nothing is moved or deleted: python -m spam_detection.imap_watch --action report 7. </w:t>
      </w:r>
      <w:r>
        <w:rPr>
          <w:b/>
        </w:rPr>
        <w:t>Enable automatic filtering</w:t>
      </w:r>
      <w:r>
        <w:t xml:space="preserve"> once the read-only check succeeds: python -m spam_detection.imap_watch --action quarantine --watch</w:t>
      </w:r>
    </w:p>
    <w:p>
      <w:pPr>
        <w:pStyle w:val="Heading3"/>
        <w:spacing w:before="200" w:after="120"/>
      </w:pPr>
      <w:r>
        <w:t>5.3.4 Filtering and Review Configuration</w:t>
      </w:r>
    </w:p>
    <w:p>
      <w:pPr>
        <w:spacing w:line="360" w:lineRule="auto" w:after="120" w:before="0"/>
        <w:jc w:val="both"/>
      </w:pPr>
      <w:r>
        <w:t>The connector's operational settings are summarised in Table 5.4. The server host and port are inferred automatically from the address domain for common providers, so in normal use only the account credentials must be supplied.</w:t>
      </w:r>
    </w:p>
    <w:p>
      <w:pPr>
        <w:spacing w:line="360" w:lineRule="auto" w:after="120" w:before="0"/>
        <w:jc w:val="both"/>
      </w:pPr>
      <w:r>
        <w:rPr>
          <w:b/>
        </w:rPr>
        <w:t>Table 5.4 — Mailbox connection and filtering configuration.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Purpose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Protocol</w:t>
            </w:r>
          </w:p>
        </w:tc>
        <w:tc>
          <w:tcPr>
            <w:tcW w:type="dxa" w:w="3024"/>
          </w:tcPr>
          <w:p>
            <w:pPr>
              <w:spacing w:line="240" w:lineRule="auto" w:after="40"/>
              <w:jc w:val="left"/>
            </w:pPr>
            <w:r>
              <w:rPr>
                <w:rFonts w:ascii="Times New Roman" w:hAnsi="Times New Roman"/>
                <w:sz w:val="21"/>
              </w:rPr>
            </w:r>
            <w:r>
              <w:rPr>
                <w:rFonts w:ascii="Times New Roman" w:hAnsi="Times New Roman"/>
                <w:sz w:val="21"/>
              </w:rPr>
              <w:t>IMAP over SSL/TLS (port 993)</w:t>
            </w:r>
          </w:p>
        </w:tc>
        <w:tc>
          <w:tcPr>
            <w:tcW w:type="dxa" w:w="3024"/>
          </w:tcPr>
          <w:p>
            <w:pPr>
              <w:spacing w:line="240" w:lineRule="auto" w:after="40"/>
              <w:jc w:val="left"/>
            </w:pPr>
            <w:r>
              <w:rPr>
                <w:rFonts w:ascii="Times New Roman" w:hAnsi="Times New Roman"/>
                <w:sz w:val="21"/>
              </w:rPr>
            </w:r>
            <w:r>
              <w:rPr>
                <w:rFonts w:ascii="Times New Roman" w:hAnsi="Times New Roman"/>
                <w:sz w:val="21"/>
              </w:rPr>
              <w:t>Encrypted retrieval of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Server host</w:t>
            </w:r>
          </w:p>
        </w:tc>
        <w:tc>
          <w:tcPr>
            <w:tcW w:type="dxa" w:w="3024"/>
          </w:tcPr>
          <w:p>
            <w:pPr>
              <w:spacing w:line="240" w:lineRule="auto" w:after="40"/>
              <w:jc w:val="left"/>
            </w:pPr>
            <w:r>
              <w:rPr>
                <w:rFonts w:ascii="Times New Roman" w:hAnsi="Times New Roman"/>
                <w:sz w:val="21"/>
              </w:rPr>
            </w:r>
            <w:r>
              <w:rPr>
                <w:rFonts w:ascii="Times New Roman" w:hAnsi="Times New Roman"/>
                <w:sz w:val="21"/>
              </w:rPr>
              <w:t>Inferred from the address domain</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manual server entry for common providers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Authentication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Sixteen-character application password, supplied as an environment variable</w:t>
            </w:r>
          </w:p>
        </w:tc>
        <w:tc>
          <w:tcPr>
            <w:tcW w:type="dxa" w:w="3024"/>
          </w:tcPr>
          <w:p>
            <w:pPr>
              <w:spacing w:line="240" w:lineRule="auto" w:after="40"/>
              <w:jc w:val="left"/>
            </w:pPr>
            <w:r>
              <w:rPr>
                <w:rFonts w:ascii="Times New Roman" w:hAnsi="Times New Roman"/>
                <w:sz w:val="21"/>
              </w:rPr>
            </w:r>
            <w:r>
              <w:rPr>
                <w:rFonts w:ascii="Times New Roman" w:hAnsi="Times New Roman"/>
                <w:sz w:val="21"/>
              </w:rPr>
              <w:t>Avoids storing a password in code or configuration files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Action mode</w:t>
            </w:r>
          </w:p>
        </w:tc>
        <w:tc>
          <w:tcPr>
            <w:tcW w:type="dxa" w:w="3024"/>
          </w:tcPr>
          <w:p>
            <w:pPr>
              <w:spacing w:line="240" w:lineRule="auto" w:after="40"/>
              <w:jc w:val="left"/>
            </w:pPr>
            <w:r>
              <w:rPr>
                <w:rFonts w:ascii="Times New Roman" w:hAnsi="Times New Roman"/>
                <w:sz w:val="21"/>
              </w:rPr>
            </w:r>
            <w:r>
              <w:rPr>
                <w:rFonts w:ascii="Times New Roman" w:hAnsi="Times New Roman"/>
                <w:sz w:val="21"/>
              </w:rPr>
              <w:t>report (read-only) or 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Read-only scoring for testing; quarantine for live filtering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folder</w:t>
            </w:r>
          </w:p>
        </w:tc>
        <w:tc>
          <w:tcPr>
            <w:tcW w:type="dxa" w:w="3024"/>
          </w:tcPr>
          <w:p>
            <w:pPr>
              <w:spacing w:line="240" w:lineRule="auto" w:after="40"/>
              <w:jc w:val="left"/>
            </w:pPr>
            <w:r>
              <w:rPr>
                <w:rFonts w:ascii="Times New Roman" w:hAnsi="Times New Roman"/>
                <w:sz w:val="21"/>
              </w:rPr>
            </w:r>
            <w:r>
              <w:rPr>
                <w:rFonts w:ascii="Times New Roman" w:hAnsi="Times New Roman"/>
                <w:sz w:val="21"/>
              </w:rPr>
              <w:t>Spam_Quarantine</w:t>
            </w:r>
          </w:p>
        </w:tc>
        <w:tc>
          <w:tcPr>
            <w:tcW w:type="dxa" w:w="3024"/>
          </w:tcPr>
          <w:p>
            <w:pPr>
              <w:spacing w:line="240" w:lineRule="auto" w:after="40"/>
              <w:jc w:val="left"/>
            </w:pPr>
            <w:r>
              <w:rPr>
                <w:rFonts w:ascii="Times New Roman" w:hAnsi="Times New Roman"/>
                <w:sz w:val="21"/>
              </w:rPr>
            </w:r>
            <w:r>
              <w:rPr>
                <w:rFonts w:ascii="Times New Roman" w:hAnsi="Times New Roman"/>
                <w:sz w:val="21"/>
              </w:rPr>
              <w:t>Flagged mail is copied there, never deleted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Poll interval</w:t>
            </w:r>
          </w:p>
        </w:tc>
        <w:tc>
          <w:tcPr>
            <w:tcW w:type="dxa" w:w="3024"/>
          </w:tcPr>
          <w:p>
            <w:pPr>
              <w:spacing w:line="240" w:lineRule="auto" w:after="40"/>
              <w:jc w:val="left"/>
            </w:pPr>
            <w:r>
              <w:rPr>
                <w:rFonts w:ascii="Times New Roman" w:hAnsi="Times New Roman"/>
                <w:sz w:val="21"/>
              </w:rPr>
            </w:r>
            <w:r>
              <w:rPr>
                <w:rFonts w:ascii="Times New Roman" w:hAnsi="Times New Roman"/>
                <w:sz w:val="21"/>
              </w:rPr>
              <w:t>10 seconds</w:t>
            </w:r>
          </w:p>
        </w:tc>
        <w:tc>
          <w:tcPr>
            <w:tcW w:type="dxa" w:w="3024"/>
          </w:tcPr>
          <w:p>
            <w:pPr>
              <w:spacing w:line="240" w:lineRule="auto" w:after="40"/>
              <w:jc w:val="left"/>
            </w:pPr>
            <w:r>
              <w:rPr>
                <w:rFonts w:ascii="Times New Roman" w:hAnsi="Times New Roman"/>
                <w:sz w:val="21"/>
              </w:rPr>
            </w:r>
            <w:r>
              <w:rPr>
                <w:rFonts w:ascii="Times New Roman" w:hAnsi="Times New Roman"/>
                <w:sz w:val="21"/>
              </w:rPr>
              <w:t>Frequency at which the inbox is checked for new mail</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Processed-message state file</w:t>
            </w:r>
          </w:p>
        </w:tc>
        <w:tc>
          <w:tcPr>
            <w:tcW w:type="dxa" w:w="3024"/>
          </w:tcPr>
          <w:p>
            <w:pPr>
              <w:spacing w:line="240" w:lineRule="auto" w:after="40"/>
              <w:jc w:val="left"/>
            </w:pPr>
            <w:r>
              <w:rPr>
                <w:rFonts w:ascii="Times New Roman" w:hAnsi="Times New Roman"/>
                <w:sz w:val="21"/>
              </w:rPr>
            </w:r>
            <w:r>
              <w:rPr>
                <w:rFonts w:ascii="Times New Roman" w:hAnsi="Times New Roman"/>
                <w:sz w:val="21"/>
              </w:rPr>
              <w:t>imap_seen.txt</w:t>
            </w:r>
          </w:p>
        </w:tc>
        <w:tc>
          <w:tcPr>
            <w:tcW w:type="dxa" w:w="3024"/>
          </w:tcPr>
          <w:p>
            <w:pPr>
              <w:spacing w:line="240" w:lineRule="auto" w:after="40"/>
              <w:jc w:val="left"/>
            </w:pPr>
            <w:r>
              <w:rPr>
                <w:rFonts w:ascii="Times New Roman" w:hAnsi="Times New Roman"/>
                <w:sz w:val="21"/>
              </w:rPr>
            </w:r>
            <w:r>
              <w:rPr>
                <w:rFonts w:ascii="Times New Roman" w:hAnsi="Times New Roman"/>
                <w:sz w:val="21"/>
              </w:rPr>
              <w:t>Prevents a message from being scored twice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queue</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review_queue.csv</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Records every decision so a reviewer can correct mistakes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3024"/>
          </w:tcPr>
          <w:p>
            <w:pPr>
              <w:spacing w:line="240" w:lineRule="auto" w:after="40"/>
              <w:jc w:val="left"/>
            </w:pPr>
            <w:r>
              <w:rPr>
                <w:rFonts w:ascii="Times New Roman" w:hAnsi="Times New Roman"/>
                <w:sz w:val="21"/>
              </w:rPr>
            </w:r>
            <w:r>
              <w:rPr>
                <w:rFonts w:ascii="Times New Roman" w:hAnsi="Times New Roman"/>
                <w:sz w:val="21"/>
              </w:rPr>
              <w:t>0.55</w:t>
            </w:r>
          </w:p>
        </w:tc>
        <w:tc>
          <w:tcPr>
            <w:tcW w:type="dxa" w:w="3024"/>
          </w:tcPr>
          <w:p>
            <w:pPr>
              <w:spacing w:line="240" w:lineRule="auto" w:after="40"/>
              <w:jc w:val="left"/>
            </w:pPr>
            <w:r>
              <w:rPr>
                <w:rFonts w:ascii="Times New Roman" w:hAnsi="Times New Roman"/>
                <w:sz w:val="21"/>
              </w:rPr>
            </w:r>
            <w:r>
              <w:rPr>
                <w:rFonts w:ascii="Times New Roman" w:hAnsi="Times New Roman"/>
                <w:sz w:val="21"/>
              </w:rPr>
              <w:t>Probability above which a message is treated as spam</w:t>
            </w:r>
          </w:p>
        </w:tc>
      </w:tr>
    </w:tbl>
    <w:p>
      <w:pPr>
        <w:spacing w:line="360" w:lineRule="auto" w:after="120" w:before="0"/>
        <w:jc w:val="both"/>
      </w:pPr>
      <w:r>
        <w:t>As shown in Table 5.4, the configuration was deliberately conservative: flagged mail is copied into a quarantine folder rather than deleted, the read-only mode allows the filter to be validated before it is allowed to move anything, and every decision is logged so that reviewer corrections can be fed back into the next retraining cycle described in Section 3.4.</w:t>
      </w:r>
    </w:p>
    <w:p>
      <w:pPr>
        <w:pStyle w:val="Heading2"/>
        <w:spacing w:before="200" w:after="120"/>
      </w:pPr>
      <w:r>
        <w:t>5.4 System Operation (with Screenshots)</w:t>
      </w:r>
    </w:p>
    <w:p>
      <w:pPr>
        <w:spacing w:line="360" w:lineRule="auto" w:after="120" w:before="0"/>
        <w:jc w:val="both"/>
      </w:pPr>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Table 5.5; the following figures illustrate the system in operation.</w:t>
      </w:r>
    </w:p>
    <w:p>
      <w:pPr>
        <w:spacing w:line="360" w:lineRule="auto" w:after="120" w:before="0"/>
        <w:jc w:val="both"/>
      </w:pPr>
      <w:r>
        <w:rPr>
          <w:b/>
        </w:rPr>
        <w:t>Table 5.5 — Command-line operations used to run the system.</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Operation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Command</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Create the virtual environment and install the libraries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venv .venv ; .venv\Scripts\activate ; pip install -r requirements.txt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Train on the reviewed corpus, evaluate on the held-out split and save the model</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 data/reviewed_mail.csv --save models/email_spam_detector.joblib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Score an external or AI-generated message set</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spam_detection.evaluate_external models/email_spam_detector.joblib data/llm_test.csv</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Start the detection service and open it in a web browser</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uvicorn spam_detection.api:app --host 0.0.0.0 --port 8000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Monitor a mail folder and quarantine flagged messages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spam_detection.scan_mailbox mail_inbox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Filter a live mailbox automatically over IMAP</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spam_detection.imap_watch --action quarantine --watch</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Retrain from reviewer corrections</w:t>
            </w:r>
          </w:p>
        </w:tc>
        <w:tc>
          <w:tcPr>
            <w:tcW w:type="dxa" w:w="4536"/>
          </w:tcPr>
          <w:p>
            <w:pPr>
              <w:spacing w:line="240" w:lineRule="auto" w:after="40"/>
              <w:jc w:val="left"/>
            </w:pPr>
            <w:r>
              <w:rPr>
                <w:rFonts w:ascii="Times New Roman" w:hAnsi="Times New Roman"/>
                <w:sz w:val="21"/>
              </w:rPr>
            </w:r>
            <w:r>
              <w:rPr>
                <w:rFonts w:ascii="Times New Roman" w:hAnsi="Times New Roman"/>
                <w:sz w:val="21"/>
              </w:rPr>
              <w:t>python -m spam_detection.feedback review_queue.csv</w:t>
            </w:r>
          </w:p>
        </w:tc>
      </w:tr>
    </w:tbl>
    <w:p>
      <w:pPr>
        <w:spacing w:line="360" w:lineRule="auto" w:after="120" w:before="0"/>
        <w:jc w:val="both"/>
      </w:pPr>
      <w:r>
        <w:t>As shown in Table 5.5, every stage of the workflow was reproducible from a single command, which kept the environment easy to recreate on any machine with Python installed and required no graphics-processing hardware. The complete source code is provided in the accompanying submission archive, organised into the modules described in Section 4.2.</w:t>
      </w:r>
    </w:p>
    <w:p>
      <w:pPr>
        <w:spacing w:line="360" w:lineRule="auto" w:after="120" w:before="0"/>
        <w:jc w:val="both"/>
      </w:pPr>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detected structural signals, as shown in Figure 5.3. Finally, the mailbox watcher could monitor a folder and, in quarantine mode, move each flagged message into a quarantine directory while logging the decision to the review queue, as shown in Figure 5.4. The same automatic score-and-quarantine loop was also implemented for a live, network-connected mailbox over the Internet Message Access Protocol: a connector logs into the account, fetches new messages as they arrive, moves flagged mail into a dedicated quarantine folder within the mailbox and leaves legitimate mail in the inbox, allowing the system to be deployed as a live adaptive filter rather than only as an offline tool.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5.2: Browser check-and-review console showing a phishing verdict and fired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5.3: Example service prediction response (label, probability and signals)</w:t>
            </w:r>
          </w:p>
        </w:tc>
      </w:tr>
    </w:tbl>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5.4: Mailbox watch run quarantining a flagged message</w:t>
            </w:r>
          </w:p>
        </w:tc>
      </w:tr>
    </w:tbl>
    <w:p>
      <w:pPr>
        <w:spacing w:line="360" w:lineRule="auto" w:after="120" w:before="0"/>
        <w:jc w:val="both"/>
      </w:pPr>
      <w:r>
        <w:t>To confirm that the connector operated outside a controlled local folder, it was run against a live mailbox hosted by a commercial provider. A disposable account was created for the purpose, application-specific credentials were issued for it, and four test messages were sent to it: one ordinary meeting request and three phishing messages of the credential-harvesting, fraudulent invoice and account-suspension types. The connector authenticated over an encrypted IMAP connection on port 993, retrieved each message in its complete RFC 5322 form and scored it with the same saved model used throughout Chapter 6, with no change to the classifier, its features or its decision threshold.</w:t>
      </w:r>
    </w:p>
    <w:p>
      <w:pPr>
        <w:spacing w:line="360" w:lineRule="auto" w:after="120" w:before="0"/>
        <w:jc w:val="both"/>
      </w:pPr>
      <w:r>
        <w:t>An unanticipated but instructive observation arose during this run. The provider applied its own filter before delivery and placed all four test messages, including the legitimate meeting request, in its spam folder, so that none of them reached the inbox. The connector was therefore directed at that folder instead, which had the useful effect of turning the exercise into an independent second opinion on messages the provider had already judged. Figure 5.5 records the result: the three phishing messages were assigned spam probabilities of 97.6%, 98.7% and 99.8% and were flagged, whereas the legitimate meeting request received 27.4% and was correctly released as legitimate. The proposed detector thus agreed with the provider on the three genuine phishing messages and disagreed on the one legitimate message, which the provider had filtered and the detector did not. This single observation is a demonstration of deployment, not a measurement of comparative accuracy, and no general claim about the relative performance of the two systems is drawn from it; the quantitative results in Chapter 6 rest entirely on the held-out corpus and the external test sets. It does, however, confirm that the detector operates correctly on live network mail and that the false-positive behaviour examined in Section 6.2.2 is a practical concern for deployed filters in general.</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5.5: Live IMAP run scoring four messages retrieved from a commercial mailbox, showing three phishing messages flagged and one legitimate message released</w:t>
            </w:r>
          </w:p>
        </w:tc>
      </w:tr>
    </w:tbl>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(16 of 22)</w:t>
            </w:r>
          </w:p>
          <w:p>
            <w:pPr>
              <w:spacing w:after="40"/>
            </w:pPr>
            <w:r>
              <w:rPr>
                <w:rFonts w:ascii="Times New Roman" w:hAnsi="Times New Roman"/>
                <w:color w:val="555555"/>
                <w:sz w:val="20"/>
              </w:rPr>
              <w:t>CHAPTER 6 -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6: SYSTEM EVALUATION AND DISCUSSION</w:t>
      </w:r>
    </w:p>
    <w:p>
      <w:pPr>
        <w:spacing w:line="360" w:lineRule="auto" w:after="120" w:before="0"/>
        <w:jc w:val="both"/>
      </w:pPr>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(17 of 22)</w:t>
            </w:r>
          </w:p>
          <w:p>
            <w:pPr>
              <w:spacing w:after="40"/>
            </w:pPr>
            <w:r>
              <w:rPr>
                <w:rFonts w:ascii="Times New Roman" w:hAnsi="Times New Roman"/>
                <w:color w:val="555555"/>
                <w:sz w:val="20"/>
              </w:rPr>
              <w:t>SECTION 6.2.2 - classifier comparison rewritten as prose (no commands)</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6.2.2 Classifier and Feature-Group Comparison (Objective 3)</w:t>
      </w:r>
    </w:p>
    <w:p>
      <w:pPr>
        <w:spacing w:line="360" w:lineRule="auto" w:after="120" w:before="0"/>
        <w:jc w:val="both"/>
      </w:pPr>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commands used are listed in Table 5.5.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line="360" w:lineRule="auto" w:after="120" w:before="0"/>
        <w:jc w:val="both"/>
      </w:pPr>
      <w:r>
        <w:rPr>
          <w:b/>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Pr>
        <w:spacing w:line="360" w:lineRule="auto" w:after="120" w:before="0"/>
        <w:jc w:val="both"/>
      </w:pPr>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pPr>
        <w:spacing w:line="360" w:lineRule="auto" w:after="120" w:before="0"/>
        <w:jc w:val="both"/>
      </w:pPr>
      <w:r>
        <w:t>The five configurations were compared metric by metric on the same held-out split.</w:t>
      </w:r>
    </w:p>
    <w:p>
      <w:pPr>
        <w:spacing w:line="360" w:lineRule="auto" w:after="120" w:before="0"/>
        <w:jc w:val="both"/>
      </w:pPr>
      <w:r>
        <w:t>In terms of accuracy, the Naïve Bayes baseline was the weakest at 0.968, while all learned classifiers reached the high nineties: content-only logistic regression improved to 0.988, the content-only support vector machine reached 0.992, and fusing the structural metadata raised the two linear classifiers further, with the fusion support vector machine at 0.993 and the deployed fusion logistic regression at 0.992. The differences above 0.99 were small, indicating that the word/character TF-IDF representation already separated the classes very well on the public corpus, but fusion consistently removed a few additional errors.</w:t>
      </w:r>
    </w:p>
    <w:p>
      <w:pPr>
        <w:spacing w:line="360" w:lineRule="auto" w:after="120" w:before="0"/>
        <w:jc w:val="both"/>
      </w:pPr>
      <w:r>
        <w:t>For precision, Naïve Bayes actually recorded the highest standalone value (0.988) because it predicted spam conservatively; however, this conservatism came at the cost of the lowest recall (0.950), meaning it missed roughly five percent of phishing. Among the learned classifiers the fusion support vector machine had the highest precision (0.992) and the fusion logistic regression 0.990, so almost every message flagged as spam was genuinely malicious.</w:t>
      </w:r>
    </w:p>
    <w:p>
      <w:pPr>
        <w:spacing w:line="360" w:lineRule="auto" w:after="120" w:before="0"/>
        <w:jc w:val="both"/>
      </w:pPr>
      <w:r>
        <w:t>Recall was the operationally important metric for a filter, because it measured how much phishing was actually caught. Here the fusion models were best, with the fusion support vector machine at 0.995 and the deployed fusion logistic regression at 0.994, both above their content-only forms (0.993 and 0.990). Adding the thirteen metadata signals therefore bought additional phishing recall, as intended in the fusion design. The F1 score, which balances precision and recall, followed the same ordering, with the two fusion classifiers highest (0.993 and 0.992). Finally, the ROC-AUC measured how reliably each model ranked spam above legitimate mail regardless of threshold; every learned configuration reached 0.999 or 1.000, indicating near-perfect ranking on the held-out corpus.</w:t>
      </w:r>
    </w:p>
    <w:p>
      <w:pPr>
        <w:spacing w:line="360" w:lineRule="auto" w:after="120" w:before="0"/>
        <w:jc w:val="both"/>
      </w:pPr>
      <w:r>
        <w:t>The fusion support vector machine had the marginally highest raw numbers, but the fusion logistic-regression model was selected for deployment for two operational reasons. First, logistic regression outputs a spam-probability estimate that can be compared with a configurable threshold (the deployed 0.55) and allows a confidence value and signal explanation to be shown, whereas the support vector machine's decision scores are not directly interpretable as probabilities. Second, the two fusion models were effectively tied in performance (accuracy 0.992 versus 0.993), so the model that provided a tunable threshold, explainable outputs and equally strong results was preferred. The results therefore supported the fusion design and the choice of a probability-based, explainable classifier over the marginally higher-scoring alternative.</w:t>
      </w:r>
    </w:p>
    <w:p>
      <w:pPr>
        <w:spacing w:line="360" w:lineRule="auto" w:after="120" w:before="0"/>
        <w:jc w:val="both"/>
      </w:pPr>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(18 of 22)</w:t>
            </w:r>
          </w:p>
          <w:p>
            <w:pPr>
              <w:spacing w:after="40"/>
            </w:pPr>
            <w:r>
              <w:rPr>
                <w:rFonts w:ascii="Times New Roman" w:hAnsi="Times New Roman"/>
                <w:color w:val="555555"/>
                <w:sz w:val="20"/>
              </w:rPr>
              <w:t>SECTION 6.2.4 - adaptive demonstration sentence fixed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3"/>
        <w:spacing w:before="200" w:after="120"/>
      </w:pPr>
      <w:r>
        <w:t>6.2.4 Adaptive Improvement (Objective 4)</w:t>
      </w:r>
    </w:p>
    <w:p>
      <w:pPr>
        <w:spacing w:line="360" w:lineRule="auto" w:after="120" w:before="0"/>
        <w:jc w:val="both"/>
      </w:pPr>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line="360" w:lineRule="auto" w:after="120" w:before="0"/>
        <w:jc w:val="both"/>
      </w:pPr>
      <w:r>
        <w:rPr>
          <w:b/>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Pr>
        <w:spacing w:line="360" w:lineRule="auto" w:after="120" w:before="0"/>
        <w:jc w:val="both"/>
      </w:pPr>
      <w:r>
        <w:t>The improvement was greatest for threat types actually represented in the reviewed feedback; this scope was reported honestly rather than claiming universal adaptation. The retraining cycle was run as a scheduled batch step, and the retrained model was evaluated on the held-out data before further use, confirming that main-corpus accuracy was maintained while the target threat ranking improved. Retraining in controlled batches rather than continuously distinguished the system from both a static model and an uncontrolled online-learning loop. The improvement in ranking is visualised by the two ROC curves, before and after retraining, in Figure 6.4.</w:t>
      </w:r>
    </w:p>
    <w:tbl>
      <w:tblPr>
        <w:tblStyle w:val="TableGrid"/>
        <w:tblW w:type="auto" w:w="0"/>
        <w:tblLook w:firstColumn="1" w:firstRow="1" w:lastColumn="0" w:lastRow="0" w:noHBand="0" w:noVBand="1" w:val="04A0"/>
      </w:tblPr>
      <w:tblGrid>
        <w:gridCol w:w="9072"/>
      </w:tblGrid>
      <w:tr>
        <w:tc>
          <w:tcPr>
            <w:tcW w:type="dxa" w:w="9072"/>
            <w:shd w:val="clear" w:fill="FFF2CC"/>
          </w:tcPr>
          <w:p>
            <w:pPr>
              <w:spacing w:after="0"/>
              <w:jc w:val="center"/>
            </w:pPr>
            <w:r>
              <w:rPr>
                <w:rFonts w:ascii="Times New Roman" w:hAnsi="Times New Roman"/>
                <w:b/>
                <w:color w:val="806000"/>
                <w:sz w:val="20"/>
              </w:rPr>
              <w:t>INSERT YOUR OWN PICTURE HERE  —  Figure 6.4: ROC curves before and after one adaptive retraining cycle</w:t>
            </w:r>
          </w:p>
        </w:tc>
      </w:tr>
    </w:tbl>
    <w:p>
      <w:pPr>
        <w:pStyle w:val="Heading3"/>
        <w:spacing w:before="200" w:after="120"/>
      </w:pPr>
      <w:r>
        <w:t>6.2.5 Comparison with Existing Systems and Commercial Filters</w:t>
      </w:r>
    </w:p>
    <w:p>
      <w:pPr>
        <w:spacing w:line="360" w:lineRule="auto" w:after="120" w:before="0"/>
        <w:jc w:val="both"/>
      </w:pPr>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pPr>
        <w:spacing w:line="360" w:lineRule="auto" w:after="120" w:before="0"/>
        <w:jc w:val="both"/>
      </w:pPr>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line="360" w:lineRule="auto" w:after="120" w:before="0"/>
        <w:jc w:val="both"/>
      </w:pPr>
      <w:r>
        <w:rPr>
          <w:b/>
        </w:rPr>
        <w:t>Table 6.5 — Commercial-filter comparison: vendor-reported block rates and independently measured detection of AI-generated phishing (independent study by Opara et al. [17]).</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2268"/>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2268"/>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Low (≈ 1.6%)</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2268"/>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2268"/>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 0%</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2268"/>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2268"/>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2268"/>
          </w:tcPr>
          <w:p>
            <w:pPr>
              <w:spacing w:line="240" w:lineRule="auto" w:after="40"/>
              <w:jc w:val="left"/>
            </w:pPr>
            <w:r>
              <w:rPr>
                <w:rFonts w:ascii="Times New Roman" w:hAnsi="Times New Roman"/>
                <w:sz w:val="21"/>
              </w:rPr>
            </w:r>
            <w:r>
              <w:rPr>
                <w:rFonts w:ascii="Times New Roman" w:hAnsi="Times New Roman"/>
                <w:sz w:val="21"/>
              </w:rPr>
              <w:t>High (≈ 59–67%)</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2268"/>
          </w:tcPr>
          <w:p>
            <w:pPr>
              <w:spacing w:line="240" w:lineRule="auto" w:after="40"/>
              <w:jc w:val="left"/>
            </w:pPr>
            <w:r>
              <w:rPr>
                <w:rFonts w:ascii="Times New Roman" w:hAnsi="Times New Roman"/>
                <w:sz w:val="21"/>
              </w:rPr>
            </w:r>
            <w:r>
              <w:rPr>
                <w:rFonts w:ascii="Times New Roman" w:hAnsi="Times New Roman"/>
                <w:sz w:val="21"/>
              </w:rPr>
              <w:t>—</w:t>
            </w:r>
          </w:p>
        </w:tc>
        <w:tc>
          <w:tcPr>
            <w:tcW w:type="dxa" w:w="2268"/>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2268"/>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r>
    </w:tbl>
    <w:p>
      <w:pPr>
        <w:spacing w:line="360" w:lineRule="auto" w:after="120" w:before="0"/>
        <w:jc w:val="both"/>
      </w:pPr>
      <w:r>
        <w:t>Unlike the proprietary commercial filters, the proposed system is open-source and runs entirely locally, so its results are reproducible and can be benchmarked offline, whereas the providers' models cannot be independently re-tested.</w:t>
      </w:r>
    </w:p>
    <w:p>
      <w:pPr>
        <w:spacing w:line="360" w:lineRule="auto" w:after="120" w:before="0"/>
        <w:jc w:val="both"/>
      </w:pPr>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line="360" w:lineRule="auto" w:after="120" w:before="0"/>
        <w:jc w:val="both"/>
      </w:pPr>
      <w:r>
        <w:rPr>
          <w:b/>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+ 13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Pr>
        <w:spacing w:line="360" w:lineRule="auto" w:after="120" w:before="0"/>
        <w:jc w:val="both"/>
      </w:pPr>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(19 of 22)</w:t>
            </w:r>
          </w:p>
          <w:p>
            <w:pPr>
              <w:spacing w:after="40"/>
            </w:pPr>
            <w:r>
              <w:rPr>
                <w:rFonts w:ascii="Times New Roman" w:hAnsi="Times New Roman"/>
                <w:color w:val="555555"/>
                <w:sz w:val="20"/>
              </w:rPr>
              <w:t>SECTION 6.4 - objectives table cells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6.4 Objectives Evaluation</w:t>
      </w:r>
    </w:p>
    <w:p>
      <w:pPr>
        <w:spacing w:line="360" w:lineRule="auto" w:after="120" w:before="0"/>
        <w:jc w:val="both"/>
      </w:pPr>
      <w:r>
        <w:t>Table 6.7 maps each objective to its outcome and evidence.</w:t>
      </w:r>
    </w:p>
    <w:p>
      <w:pPr>
        <w:spacing w:line="360" w:lineRule="auto" w:after="120" w:before="0"/>
        <w:jc w:val="both"/>
      </w:pPr>
      <w:r>
        <w:rPr>
          <w:b/>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thirteen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(Sections 3.3 and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Pr>
        <w:spacing w:line="360" w:lineRule="auto" w:after="120" w:before="0"/>
        <w:jc w:val="both"/>
      </w:pPr>
      <w:r>
        <w:t>Objective 1, extracting content and metadata features, was achieved. The system extracted both word- and character-level content features using term-frequency inverse-document-frequency weighting, together with thirteen structural metadata signals (Section 4.2, Table 4.2) such as link counts, the mismatch between the sender domain and linked domains, and authentication indicators; a message was therefore judged on both what it said and how it was structured, rather than on either source alone.</w:t>
      </w:r>
    </w:p>
    <w:p>
      <w:pPr>
        <w:spacing w:line="360" w:lineRule="auto" w:after="120" w:before="0"/>
        <w:jc w:val="both"/>
      </w:pPr>
      <w:r>
        <w:t>Objective 2, a content–metadata fusion framework, was achieved. The content and metadata streams were combined in a single sparse pipeline in which the metadata signals were standardised before being fused with the text features (Sections 3.3 and 4.2), allowing one classifier to reason over content and metadata jointly rather than as separate decisions.</w:t>
      </w:r>
    </w:p>
    <w:p>
      <w:pPr>
        <w:spacing w:line="360" w:lineRule="auto" w:after="120" w:before="0"/>
        <w:jc w:val="both"/>
      </w:pPr>
      <w:r>
        <w:t>Objective 3, training and evaluating Naïve Bayes, logistic regression and the support-vector machine, was achieved. All three classifiers were trained and evaluated on the same stratified 75/25 split under identical settings (Table 6.2); the fused logistic-regression model was selected for deployment because it matched the best reported accuracy while also providing probability estimates and a tunable decision threshold.</w:t>
      </w:r>
    </w:p>
    <w:p>
      <w:pPr>
        <w:spacing w:line="360" w:lineRule="auto" w:after="120" w:before="0"/>
        <w:jc w:val="both"/>
      </w:pPr>
      <w:r>
        <w:t>Objective 4, adaptive retraining that maintained accuracy, was achieved. After one reviewed retraining cycle on modern threat email, ranking performance on a held-out modern-threat set rose from ROC-AUC 0.81 to 0.945 and recall at a near-zero false-positive point rose from approximately 20% to 85%, while accuracy on the main corpus was maintained at 0.991 (Table 6.4), demonstrating measurable adaptation to new threat styles without degrading normal performance.</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(20 of 22)</w:t>
            </w:r>
          </w:p>
          <w:p>
            <w:pPr>
              <w:spacing w:after="40"/>
            </w:pPr>
            <w:r>
              <w:rPr>
                <w:rFonts w:ascii="Times New Roman" w:hAnsi="Times New Roman"/>
                <w:color w:val="555555"/>
                <w:sz w:val="20"/>
              </w:rPr>
              <w:t>CHAPTER 7 - new opener paragraph</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1"/>
        <w:spacing w:before="200" w:after="120"/>
      </w:pPr>
      <w:r>
        <w:t>CHAPTER 7: CONCLUSION AND RECOMMENDATION</w:t>
      </w:r>
    </w:p>
    <w:p>
      <w:pPr>
        <w:spacing w:line="360" w:lineRule="auto" w:after="120" w:before="0"/>
        <w:jc w:val="both"/>
      </w:pPr>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(21 of 22)</w:t>
            </w:r>
          </w:p>
          <w:p>
            <w:pPr>
              <w:spacing w:after="40"/>
            </w:pPr>
            <w:r>
              <w:rPr>
                <w:rFonts w:ascii="Times New Roman" w:hAnsi="Times New Roman"/>
                <w:color w:val="555555"/>
                <w:sz w:val="20"/>
              </w:rPr>
              <w:t>APPENDIX B - placeholder wording genericised</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B — Full Classifier Output and Confusion Matrices</w:t>
      </w:r>
    </w:p>
    <w:p>
      <w:pPr>
        <w:spacing w:line="360" w:lineRule="auto" w:after="120" w:before="0"/>
        <w:jc w:val="both"/>
      </w:pPr>
      <w:r>
        <w:t>[FILL IN: paste the complete classifier-comparison output table and the per-configuration confusion matrices produced during the evaluation described in Section 6.2.]</w:t>
      </w:r>
    </w:p>
    <w:p>
      <w:r>
        <w:br w:type="page"/>
      </w:r>
    </w:p>
    <w:tbl>
      <w:tblPr>
        <w:tblStyle w:val="TableGrid"/>
        <w:tblW w:type="auto" w:w="0"/>
        <w:tblLook w:firstColumn="1" w:firstRow="1" w:lastColumn="0" w:lastRow="0" w:noHBand="0" w:noVBand="1" w:val="04A0"/>
      </w:tblPr>
      <w:tblGrid>
        <w:gridCol w:w="9072"/>
      </w:tblGrid>
      <w:tr>
        <w:tc>
          <w:tcPr>
            <w:tcW w:type="dxa" w:w="9072"/>
            <w:shd w:val="clear" w:fill="D9E2F3"/>
          </w:tcPr>
          <w:p>
            <w:pPr>
              <w:spacing w:after="40"/>
            </w:pPr>
            <w:r>
              <w:rPr>
                <w:rFonts w:ascii="Times New Roman" w:hAnsi="Times New Roman"/>
                <w:b/>
                <w:color w:val="1F3864"/>
                <w:sz w:val="22"/>
              </w:rPr>
              <w:t>REPLACE IN YOUR REPORT  (22 of 22)</w:t>
            </w:r>
          </w:p>
          <w:p>
            <w:pPr>
              <w:spacing w:after="40"/>
            </w:pPr>
            <w:r>
              <w:rPr>
                <w:rFonts w:ascii="Times New Roman" w:hAnsi="Times New Roman"/>
                <w:color w:val="555555"/>
                <w:sz w:val="20"/>
              </w:rPr>
              <w:t>APPENDIX D - NOW contains the full command reference</w:t>
            </w:r>
          </w:p>
          <w:p>
            <w:pPr>
              <w:spacing w:after="0"/>
            </w:pPr>
            <w:r>
              <w:rPr>
                <w:rFonts w:ascii="Times New Roman" w:hAnsi="Times New Roman"/>
                <w:i/>
                <w:color w:val="555555"/>
                <w:sz w:val="18"/>
              </w:rPr>
              <w:t>Go to this section in your own report, delete its old contents, then copy everything under this banner (tables copy as tables).</w:t>
            </w:r>
          </w:p>
        </w:tc>
      </w:tr>
    </w:tbl>
    <w:p>
      <w:pPr>
        <w:pStyle w:val="Heading2"/>
        <w:spacing w:before="200" w:after="120"/>
      </w:pPr>
      <w:r>
        <w:t>Appendix D — Weekly / Bi-weekly Log</w:t>
      </w:r>
    </w:p>
    <w:p>
      <w:pPr>
        <w:spacing w:line="360" w:lineRule="auto" w:after="120" w:before="0"/>
        <w:jc w:val="both"/>
      </w:pPr>
      <w:r>
        <w:t>[FILL IN: insert at least six bi-weekly/weekly progress report forms signed by the supervisor.]</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