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thirteen structural metadata signals. - Table 5.1 Specifications of the development machine. - Table 5.2 Software and libraries used in the project. - Table 5.3 Model and feature hyper-parameters. - Table 5.4 Mailbox connection and filtering configuration. - Table 5.5 Command-line operations used to run the system.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( 1 + ln tf(t, d) ) · idf(t)</w:t>
        <w:tab/>
        <w:tab/>
        <w:tab/>
        <w:tab/>
        <w:tab/>
        <w:tab/>
        <w:tab/>
        <w:tab/>
        <w:tab/>
        <w:t>(3.1)</w:t>
      </w:r>
    </w:p>
    <w:p>
      <w:pPr>
        <w:spacing w:before="80" w:after="80"/>
        <w:jc w:val="center"/>
      </w:pPr>
      <w:r>
        <w:rPr>
          <w:rFonts w:ascii="Cambria Math" w:hAnsi="Cambria Math"/>
          <w:sz w:val="24"/>
        </w:rPr>
        <w:t>idf(t) = ln ( (1 + N) / (1 + df(t)) ) + 1</w:t>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thirteen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thirteen structural metadata signals are defined in Table 4.2.</w:t>
      </w:r>
    </w:p>
    <w:p>
      <w:pPr>
        <w:spacing w:line="360" w:lineRule="auto" w:after="120" w:before="0"/>
        <w:jc w:val="both"/>
      </w:pPr>
      <w:r>
        <w:rPr>
          <w:b/>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3"/>
        <w:spacing w:before="200" w:after="120"/>
      </w:pPr>
      <w:r>
        <w:t>5.3.1 Python Environment Configuration</w:t>
      </w:r>
    </w:p>
    <w:p>
      <w:pPr>
        <w:spacing w:line="360" w:lineRule="auto" w:after="120" w:before="0"/>
        <w:jc w:val="both"/>
      </w:pPr>
      <w:r>
        <w:t xml:space="preserve">1. </w:t>
      </w:r>
      <w:r>
        <w:rPr>
          <w:b/>
        </w:rPr>
        <w:t>Install Python 3.13</w:t>
      </w:r>
      <w:r>
        <w:t xml:space="preserve"> for Windows from python.org, selecting "Add python.exe to PATH". 2. </w:t>
      </w:r>
      <w:r>
        <w:rPr>
          <w:b/>
        </w:rPr>
        <w:t>Create the project virtual environment</w:t>
      </w:r>
      <w:r>
        <w:t xml:space="preserve"> in the project folder so that the libraries are isolated from the system installation: python -m venv .venv 3. </w:t>
      </w:r>
      <w:r>
        <w:rPr>
          <w:b/>
        </w:rPr>
        <w:t>Activate the environment</w:t>
      </w:r>
      <w:r>
        <w:t xml:space="preserve">: .venv\Scripts\activate (the prompt is then prefixed with (.venv)). 4. </w:t>
      </w:r>
      <w:r>
        <w:rPr>
          <w:b/>
        </w:rPr>
        <w:t>Install the required libraries</w:t>
      </w:r>
      <w:r>
        <w:t xml:space="preserve">: pip install -r requirements.txt, which installs scikit-learn, FastAPI, Uvicorn, pandas, Matplotlib and Joblib together with their dependencies. 5. </w:t>
      </w:r>
      <w:r>
        <w:rPr>
          <w:b/>
        </w:rPr>
        <w:t>Verify the installation</w:t>
      </w:r>
      <w:r>
        <w:t xml:space="preserve"> with pip list, as shown in Figure 5.1.</w:t>
      </w:r>
    </w:p>
    <w:p>
      <w:pPr>
        <w:spacing w:line="360" w:lineRule="auto" w:after="120" w:before="0"/>
        <w:jc w:val="both"/>
      </w:pPr>
      <w:r>
        <w:t>No configuration file, environment variable or administrator privilege is required for this stage.</w:t>
      </w:r>
    </w:p>
    <w:p>
      <w:pPr>
        <w:pStyle w:val="Heading3"/>
        <w:spacing w:before="200" w:after="120"/>
      </w:pPr>
      <w:r>
        <w:t>5.3.2 Detector Configuration</w:t>
      </w:r>
    </w:p>
    <w:p>
      <w:pPr>
        <w:spacing w:line="360" w:lineRule="auto" w:after="120" w:before="0"/>
        <w:jc w:val="both"/>
      </w:pPr>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3"/>
        <w:spacing w:before="200" w:after="120"/>
      </w:pPr>
      <w:r>
        <w:t>5.3.3 Mail-Account Configuration for Live Filtering</w:t>
      </w:r>
    </w:p>
    <w:p>
      <w:pPr>
        <w:spacing w:line="360" w:lineRule="auto" w:after="120" w:before="0"/>
        <w:jc w:val="both"/>
      </w:pPr>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pPr>
        <w:spacing w:line="360" w:lineRule="auto" w:after="120" w:before="0"/>
        <w:jc w:val="both"/>
      </w:pPr>
      <w:r>
        <w:t xml:space="preserve">1. </w:t>
      </w:r>
      <w:r>
        <w:rPr>
          <w:b/>
        </w:rPr>
        <w:t>Create a dedicated test mail account</w:t>
      </w:r>
      <w:r>
        <w:t xml:space="preserve"> used only for this project, so that no personal or third-party mail is read by the system. 2. </w:t>
      </w:r>
      <w:r>
        <w:rPr>
          <w:b/>
        </w:rPr>
        <w:t>Enable two-step verification</w:t>
      </w:r>
      <w:r>
        <w:t xml:space="preserve"> on that account, which is a prerequisite for issuing an application password. 3. </w:t>
      </w:r>
      <w:r>
        <w:rPr>
          <w:b/>
        </w:rPr>
        <w:t>Generate an application password</w:t>
      </w:r>
      <w:r>
        <w:t xml:space="preserve">: in the account security settings, create a sixteen- character application password for the connector. The ordinary login password is never used and is never stored by the system. 4. </w:t>
      </w:r>
      <w:r>
        <w:rPr>
          <w:b/>
        </w:rPr>
        <w:t>Enable IMAP access</w:t>
      </w:r>
      <w:r>
        <w:t xml:space="preserve"> in the mail account settings so that external clients may read the mailbox. 5. </w:t>
      </w:r>
      <w:r>
        <w:rPr>
          <w:b/>
        </w:rPr>
        <w:t>Supply the credentials as environment variables</w:t>
      </w:r>
      <w:r>
        <w:t xml:space="preserve"> rather than editing any source file, so that no password is written into the code or the report:</w:t>
      </w:r>
    </w:p>
    <w:p>
      <w:pPr>
        <w:spacing w:after="0" w:line="240" w:lineRule="auto"/>
      </w:pPr>
      <w:r>
        <w:rPr>
          <w:rFonts w:ascii="Consolas" w:hAnsi="Consolas"/>
          <w:color w:val="222222"/>
          <w:sz w:val="18"/>
        </w:rPr>
        <w:t>$env:IMAP_USER = "the test address"</w:t>
      </w:r>
    </w:p>
    <w:p>
      <w:pPr>
        <w:spacing w:after="120" w:line="240" w:lineRule="auto"/>
      </w:pPr>
      <w:r>
        <w:rPr>
          <w:rFonts w:ascii="Consolas" w:hAnsi="Consolas"/>
          <w:color w:val="222222"/>
          <w:sz w:val="18"/>
        </w:rPr>
        <w:t>$env:IMAP_PASS = "the sixteen-character application password"</w:t>
      </w:r>
    </w:p>
    <w:p>
      <w:pPr>
        <w:spacing w:line="360" w:lineRule="auto" w:after="120" w:before="0"/>
        <w:jc w:val="both"/>
      </w:pPr>
      <w:r>
        <w:t xml:space="preserve">6. </w:t>
      </w:r>
      <w:r>
        <w:rPr>
          <w:b/>
        </w:rPr>
        <w:t>Run a read-only check first.</w:t>
      </w:r>
      <w:r>
        <w:t xml:space="preserve"> The connector defaults to report mode, in which messages are scored and logged but nothing is moved or deleted: python -m spam_detection.imap_watch --action report 7. </w:t>
      </w:r>
      <w:r>
        <w:rPr>
          <w:b/>
        </w:rPr>
        <w:t>Enable automatic filtering</w:t>
      </w:r>
      <w:r>
        <w:t xml:space="preserve"> once the read-only check succeeds: python -m spam_detection.imap_watch --action quarantine --watch</w:t>
      </w:r>
    </w:p>
    <w:p>
      <w:pPr>
        <w:pStyle w:val="Heading3"/>
        <w:spacing w:before="200" w:after="120"/>
      </w:pPr>
      <w:r>
        <w:t>5.3.4 Filtering and Review Configuration</w:t>
      </w:r>
    </w:p>
    <w:p>
      <w:pPr>
        <w:spacing w:line="360" w:lineRule="auto" w:after="120" w:before="0"/>
        <w:jc w:val="both"/>
      </w:pPr>
      <w:r>
        <w:t>The connector's operational settings are summarised in Table 5.4. The server host and port are inferred automatically from the address domain for common providers, so in normal use only the account credentials must be supplied.</w:t>
      </w:r>
    </w:p>
    <w:p>
      <w:pPr>
        <w:spacing w:line="360" w:lineRule="auto" w:after="120" w:before="0"/>
        <w:jc w:val="both"/>
      </w:pPr>
      <w:r>
        <w:rPr>
          <w:b/>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Pr>
        <w:spacing w:line="360" w:lineRule="auto" w:after="120" w:before="0"/>
        <w:jc w:val="both"/>
      </w:pPr>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line="360" w:lineRule="auto" w:after="120" w:before="0"/>
        <w:jc w:val="both"/>
      </w:pPr>
      <w:r>
        <w:rPr>
          <w:b/>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Pr>
        <w:spacing w:line="360" w:lineRule="auto" w:after="120" w:before="0"/>
        <w:jc w:val="both"/>
      </w:pPr>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five configurations were compared metric by metric on the same held-out split.</w:t>
      </w:r>
    </w:p>
    <w:p>
      <w:pPr>
        <w:spacing w:line="360" w:lineRule="auto" w:after="120" w:before="0"/>
        <w:jc w:val="both"/>
      </w:pPr>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pPr>
        <w:spacing w:line="360" w:lineRule="auto" w:after="120" w:before="0"/>
        <w:jc w:val="both"/>
      </w:pPr>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pPr>
        <w:spacing w:line="360" w:lineRule="auto" w:after="120" w:before="0"/>
        <w:jc w:val="both"/>
      </w:pPr>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pPr>
        <w:spacing w:line="360" w:lineRule="auto" w:after="120" w:before="0"/>
        <w:jc w:val="both"/>
      </w:pPr>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Pr>
        <w:spacing w:line="360" w:lineRule="auto" w:after="120" w:before="0"/>
        <w:jc w:val="both"/>
      </w:pPr>
      <w:r>
        <w:t>Unlike the proprietary commercial filters, the proposed system is open-source and runs entirely locally, so its results are reproducible and can be benchmarked offline, whereas the providers' models cannot be independently re-tested.</w:t>
      </w:r>
    </w:p>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Weekly / Bi-weekly Log</w:t>
      </w:r>
    </w:p>
    <w:p>
      <w:pPr>
        <w:spacing w:line="360" w:lineRule="auto" w:after="120" w:before="0"/>
        <w:jc w:val="both"/>
      </w:pPr>
      <w:r>
        <w:t>[FILL IN: insert at least six bi-weekly/weekly progress report forms signed by the supervisor.]</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