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twelve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the new model is validated on the held-out split, and it is redeployed automatically only if performance is maintained.</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tf(t, d) · idf(t)        (3.1)</w:t>
      </w:r>
    </w:p>
    <w:p>
      <w:pPr>
        <w:spacing w:before="80" w:after="80"/>
        <w:jc w:val="center"/>
      </w:pPr>
      <w:r>
        <w:rPr>
          <w:rFonts w:ascii="Cambria Math" w:hAnsi="Cambria Math"/>
          <w:sz w:val="24"/>
        </w:rPr>
        <w:t>idf(t) = ln ( N / (1 + df(t)) ) + 1        (3.2)</w:t>
      </w:r>
    </w:p>
    <w:p>
      <w:r>
        <w:t>where tf(t, d) is the frequency of term t in email d, df(t) is the number of emails in the training set that contain t, and N is the total number of emails. A term that is frequent in one email but rare across all emails therefore receives a high weight, while common words receive a low weight.</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        (3.3)</w:t>
      </w:r>
    </w:p>
    <w:p>
      <w:r>
        <w:t>where μ is the mean and σ the standard deviation of that signal over the training set.</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        (3.4)</w:t>
      </w:r>
    </w:p>
    <w:p>
      <w:pPr>
        <w:spacing w:before="80" w:after="80"/>
        <w:jc w:val="center"/>
      </w:pPr>
      <w:r>
        <w:rPr>
          <w:rFonts w:ascii="Cambria Math" w:hAnsi="Cambria Math"/>
          <w:sz w:val="24"/>
        </w:rPr>
        <w:t>P(spam | x) = 1 / ( 1 + e^(−z) )        (3.5)</w:t>
      </w:r>
    </w:p>
    <w:p>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        (3.7)</w:t>
      </w:r>
    </w:p>
    <w:p>
      <w:pPr>
        <w:spacing w:before="80" w:after="80"/>
        <w:jc w:val="center"/>
      </w:pPr>
      <w:r>
        <w:rPr>
          <w:rFonts w:ascii="Cambria Math" w:hAnsi="Cambria Math"/>
          <w:sz w:val="24"/>
        </w:rPr>
        <w:t>Precision = TP / ( TP + FP )        (3.8)</w:t>
      </w:r>
    </w:p>
    <w:p>
      <w:pPr>
        <w:spacing w:before="80" w:after="80"/>
        <w:jc w:val="center"/>
      </w:pPr>
      <w:r>
        <w:rPr>
          <w:rFonts w:ascii="Cambria Math" w:hAnsi="Cambria Math"/>
          <w:sz w:val="24"/>
        </w:rPr>
        <w:t>Recall = TP / ( TP + FN )        (3.9)</w:t>
      </w:r>
    </w:p>
    <w:p>
      <w:pPr>
        <w:spacing w:before="80" w:after="80"/>
        <w:jc w:val="center"/>
      </w:pPr>
      <w:r>
        <w:rPr>
          <w:rFonts w:ascii="Cambria Math" w:hAnsi="Cambria Math"/>
          <w:sz w:val="24"/>
        </w:rPr>
        <w:t>F1 = 2 · ( Precision · Recall ) / ( Precision + Recall )        (3.10)</w:t>
      </w:r>
    </w:p>
    <w:p>
      <w:pPr>
        <w:spacing w:before="80" w:after="80"/>
        <w:jc w:val="center"/>
      </w:pPr>
      <w:r>
        <w:rPr>
          <w:rFonts w:ascii="Cambria Math" w:hAnsi="Cambria Math"/>
          <w:sz w:val="24"/>
        </w:rPr>
        <w:t>False-positive rate = FP / ( FP + TN )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jc w:val="center"/>
      </w:pPr>
      <w:r>
        <w:rPr>
          <w:i/>
        </w:rPr>
        <w:t>FIGURE 5.1: Software and virtual-environment setup.</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Software / library</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Purpose in the project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Python 3.11</w:t>
            </w:r>
          </w:p>
        </w:tc>
        <w:tc>
          <w:tcPr>
            <w:tcW w:type="dxa" w:w="4536"/>
          </w:tcPr>
          <w:p>
            <w:pPr>
              <w:spacing w:line="240" w:lineRule="auto" w:after="40"/>
              <w:jc w:val="left"/>
            </w:pPr>
            <w:r>
              <w:rPr>
                <w:rFonts w:ascii="Times New Roman" w:hAnsi="Times New Roman"/>
                <w:sz w:val="21"/>
              </w:rPr>
            </w:r>
            <w:r>
              <w:rPr>
                <w:rFonts w:ascii="Times New Roman" w:hAnsi="Times New Roman"/>
                <w:sz w:val="21"/>
              </w:rPr>
              <w:t>Programming language for all scripts and the detection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scikit-learn 1.4+</w:t>
            </w:r>
          </w:p>
        </w:tc>
        <w:tc>
          <w:tcPr>
            <w:tcW w:type="dxa" w:w="4536"/>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Naive Bayes, logistic regression, support-vector machine, feature scaling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NumPy (bundled with scikit-learn)</w:t>
            </w:r>
          </w:p>
        </w:tc>
        <w:tc>
          <w:tcPr>
            <w:tcW w:type="dxa" w:w="4536"/>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Joblib 1.3+</w:t>
            </w:r>
          </w:p>
        </w:tc>
        <w:tc>
          <w:tcPr>
            <w:tcW w:type="dxa" w:w="4536"/>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FastAPI 0.110+</w:t>
            </w:r>
          </w:p>
        </w:tc>
        <w:tc>
          <w:tcPr>
            <w:tcW w:type="dxa" w:w="4536"/>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Uvicorn 0.27+</w:t>
            </w:r>
          </w:p>
        </w:tc>
        <w:tc>
          <w:tcPr>
            <w:tcW w:type="dxa" w:w="4536"/>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Pydantic 2.0+</w:t>
            </w:r>
          </w:p>
        </w:tc>
        <w:tc>
          <w:tcPr>
            <w:tcW w:type="dxa" w:w="4536"/>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Matplotlib 3.7+</w:t>
            </w:r>
          </w:p>
        </w:tc>
        <w:tc>
          <w:tcPr>
            <w:tcW w:type="dxa" w:w="4536"/>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bl>
    <w:p/>
    <w:p>
      <w:r>
        <w:t>The version numbers in Table 5.2 matched the minimum versions recorded in the requirements file, so the environment could be recreated exactly. The python-docx library (1.1+) was used only to generate this report document and was not part of the detection system.</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Environment policy.</w:t>
      </w:r>
      <w:r>
        <w:t xml:space="preserve"> A Windows application-control policy initially blocked a scientific-library binary; installing official prebuilt packages resolved the issue.</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w:t>
      </w:r>
    </w:p>
    <w:p>
      <w:pPr>
        <w:jc w:val="center"/>
      </w:pPr>
      <w:r>
        <w:rPr>
          <w:i/>
        </w:rPr>
        <w:t>FIGURE 6.1: Confusion matrix of the fused model on the held-out test split.</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Live mailbox integration.</w:t>
      </w:r>
      <w:r>
        <w:t xml:space="preserve"> Connect the API to a live mailbox through an automation platform or mail-transfer agent, with quarantine and a reviewer dashboard, under appropriate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