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5.5 Live IMAP run scoring four messages retrieved from a commercial mailbox.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thirteen structural metadata signals. - Table 5.1 Specifications of the development machine. - Table 5.2 Software and libraries used in the project. - Table 5.3 Model and feature hyper-parameters. - Table 5.4 Mailbox connection and filtering configuration. - Table 5.5 Command-line operations used to run the system.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 [21] N. A. Alam, "Phishing email dataset," Kaggle, 2024. [Online]. Available: https://www.kaggle.com/datasets/naserabdullahalam/phishing-email-dataset (accessed Sep. 3, 2026). [22] A. Al-Subaiey, M. Al-Thani, N. A. Alam, K. F. Antora, A. Khandakar, and S. A. U. Zaman, "Novel interpretable and robust web-based AI platform for phishing email detection," Computers and Electrical Engineering, vol. 120, art. 109625, Dec. 2024, doi: 10.1016/j.compeleceng.2024.109625.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( 1 + ln tf(t, d) ) · idf(t)</w:t>
        <w:tab/>
        <w:tab/>
        <w:tab/>
        <w:tab/>
        <w:tab/>
        <w:tab/>
        <w:tab/>
        <w:tab/>
        <w:tab/>
        <w:t>(3.1)</w:t>
      </w:r>
    </w:p>
    <w:p>
      <w:pPr>
        <w:spacing w:before="80" w:after="80"/>
        <w:jc w:val="center"/>
      </w:pPr>
      <w:r>
        <w:rPr>
          <w:rFonts w:ascii="Cambria Math" w:hAnsi="Cambria Math"/>
          <w:sz w:val="24"/>
        </w:rPr>
        <w:t>idf(t) = ln ( (1 + N) / (1 + df(t)) ) + 1</w:t>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thirteen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thirteen structural metadata signals are defined in Table 4.2.</w:t>
      </w:r>
    </w:p>
    <w:p>
      <w:pPr>
        <w:spacing w:line="360" w:lineRule="auto" w:after="120" w:before="0"/>
        <w:jc w:val="both"/>
      </w:pPr>
      <w:r>
        <w:rPr>
          <w:b/>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13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3"/>
        <w:spacing w:before="200" w:after="120"/>
      </w:pPr>
      <w:r>
        <w:t>5.3.1 Python Environment Configuration</w:t>
      </w:r>
    </w:p>
    <w:p>
      <w:pPr>
        <w:spacing w:line="360" w:lineRule="auto" w:after="120" w:before="0"/>
        <w:jc w:val="both"/>
      </w:pPr>
      <w:r>
        <w:t xml:space="preserve">1. </w:t>
      </w:r>
      <w:r>
        <w:rPr>
          <w:b/>
        </w:rPr>
        <w:t>Install Python 3.13</w:t>
      </w:r>
      <w:r>
        <w:t xml:space="preserve"> for Windows from python.org, selecting "Add python.exe to PATH". 2. </w:t>
      </w:r>
      <w:r>
        <w:rPr>
          <w:b/>
        </w:rPr>
        <w:t>Create the project virtual environment</w:t>
      </w:r>
      <w:r>
        <w:t xml:space="preserve"> in the project folder so that the libraries are isolated from the system installation: python -m venv .venv 3. </w:t>
      </w:r>
      <w:r>
        <w:rPr>
          <w:b/>
        </w:rPr>
        <w:t>Activate the environment</w:t>
      </w:r>
      <w:r>
        <w:t xml:space="preserve">: .venv\Scripts\activate (the prompt is then prefixed with (.venv)). 4. </w:t>
      </w:r>
      <w:r>
        <w:rPr>
          <w:b/>
        </w:rPr>
        <w:t>Install the required libraries</w:t>
      </w:r>
      <w:r>
        <w:t xml:space="preserve">: pip install -r requirements.txt, which installs scikit-learn, FastAPI, Uvicorn, pandas, Matplotlib and Joblib together with their dependencies. 5. </w:t>
      </w:r>
      <w:r>
        <w:rPr>
          <w:b/>
        </w:rPr>
        <w:t>Verify the installation</w:t>
      </w:r>
      <w:r>
        <w:t xml:space="preserve"> with pip list, as shown in Figure 5.1.</w:t>
      </w:r>
    </w:p>
    <w:p>
      <w:pPr>
        <w:spacing w:line="360" w:lineRule="auto" w:after="120" w:before="0"/>
        <w:jc w:val="both"/>
      </w:pPr>
      <w:r>
        <w:t>No configuration file, environment variable or administrator privilege is required for this stage.</w:t>
      </w:r>
    </w:p>
    <w:p>
      <w:pPr>
        <w:pStyle w:val="Heading3"/>
        <w:spacing w:before="200" w:after="120"/>
      </w:pPr>
      <w:r>
        <w:t>5.3.2 Detector Configuration</w:t>
      </w:r>
    </w:p>
    <w:p>
      <w:pPr>
        <w:spacing w:line="360" w:lineRule="auto" w:after="120" w:before="0"/>
        <w:jc w:val="both"/>
      </w:pPr>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3"/>
        <w:spacing w:before="200" w:after="120"/>
      </w:pPr>
      <w:r>
        <w:t>5.3.3 Mail-Account Configuration for Live Filtering</w:t>
      </w:r>
    </w:p>
    <w:p>
      <w:pPr>
        <w:spacing w:line="360" w:lineRule="auto" w:after="120" w:before="0"/>
        <w:jc w:val="both"/>
      </w:pPr>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pPr>
        <w:spacing w:line="360" w:lineRule="auto" w:after="120" w:before="0"/>
        <w:jc w:val="both"/>
      </w:pPr>
      <w:r>
        <w:t xml:space="preserve">1. </w:t>
      </w:r>
      <w:r>
        <w:rPr>
          <w:b/>
        </w:rPr>
        <w:t>Create a dedicated test mail account</w:t>
      </w:r>
      <w:r>
        <w:t xml:space="preserve"> used only for this project, so that no personal or third-party mail is read by the system. 2. </w:t>
      </w:r>
      <w:r>
        <w:rPr>
          <w:b/>
        </w:rPr>
        <w:t>Enable two-step verification</w:t>
      </w:r>
      <w:r>
        <w:t xml:space="preserve"> on that account, which is a prerequisite for issuing an application password. 3. </w:t>
      </w:r>
      <w:r>
        <w:rPr>
          <w:b/>
        </w:rPr>
        <w:t>Generate an application password</w:t>
      </w:r>
      <w:r>
        <w:t xml:space="preserve">: in the account security settings, create a sixteen- character application password for the connector. The ordinary login password is never used and is never stored by the system. 4. </w:t>
      </w:r>
      <w:r>
        <w:rPr>
          <w:b/>
        </w:rPr>
        <w:t>Enable IMAP access</w:t>
      </w:r>
      <w:r>
        <w:t xml:space="preserve"> in the mail account settings so that external clients may read the mailbox. 5. </w:t>
      </w:r>
      <w:r>
        <w:rPr>
          <w:b/>
        </w:rPr>
        <w:t>Supply the credentials as environment variables</w:t>
      </w:r>
      <w:r>
        <w:t xml:space="preserve"> rather than editing any source file, so that no password is written into the code or the report:</w:t>
      </w:r>
    </w:p>
    <w:p>
      <w:pPr>
        <w:spacing w:after="0" w:line="240" w:lineRule="auto"/>
      </w:pPr>
      <w:r>
        <w:rPr>
          <w:rFonts w:ascii="Consolas" w:hAnsi="Consolas"/>
          <w:color w:val="222222"/>
          <w:sz w:val="18"/>
        </w:rPr>
        <w:t>$env:IMAP_USER = "the test address"</w:t>
      </w:r>
    </w:p>
    <w:p>
      <w:pPr>
        <w:spacing w:after="120" w:line="240" w:lineRule="auto"/>
      </w:pPr>
      <w:r>
        <w:rPr>
          <w:rFonts w:ascii="Consolas" w:hAnsi="Consolas"/>
          <w:color w:val="222222"/>
          <w:sz w:val="18"/>
        </w:rPr>
        <w:t>$env:IMAP_PASS = "the sixteen-character application password"</w:t>
      </w:r>
    </w:p>
    <w:p>
      <w:pPr>
        <w:spacing w:line="360" w:lineRule="auto" w:after="120" w:before="0"/>
        <w:jc w:val="both"/>
      </w:pPr>
      <w:r>
        <w:t xml:space="preserve">6. </w:t>
      </w:r>
      <w:r>
        <w:rPr>
          <w:b/>
        </w:rPr>
        <w:t>Run a read-only check first.</w:t>
      </w:r>
      <w:r>
        <w:t xml:space="preserve"> The connector defaults to report mode, in which messages are scored and logged but nothing is moved or deleted: python -m spam_detection.imap_watch --action report 7. </w:t>
      </w:r>
      <w:r>
        <w:rPr>
          <w:b/>
        </w:rPr>
        <w:t>Enable automatic filtering</w:t>
      </w:r>
      <w:r>
        <w:t xml:space="preserve"> once the read-only check succeeds: python -m spam_detection.imap_watch --action quarantine --watch</w:t>
      </w:r>
    </w:p>
    <w:p>
      <w:pPr>
        <w:pStyle w:val="Heading3"/>
        <w:spacing w:before="200" w:after="120"/>
      </w:pPr>
      <w:r>
        <w:t>5.3.4 Filtering and Review Configuration</w:t>
      </w:r>
    </w:p>
    <w:p>
      <w:pPr>
        <w:spacing w:line="360" w:lineRule="auto" w:after="120" w:before="0"/>
        <w:jc w:val="both"/>
      </w:pPr>
      <w:r>
        <w:t>The connector's operational settings are summarised in Table 5.4. The server host and port are inferred automatically from the address domain for common providers, so in normal use only the account credentials must be supplied.</w:t>
      </w:r>
    </w:p>
    <w:p>
      <w:pPr>
        <w:spacing w:line="360" w:lineRule="auto" w:after="120" w:before="0"/>
        <w:jc w:val="both"/>
      </w:pPr>
      <w:r>
        <w:rPr>
          <w:b/>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Pr>
        <w:spacing w:line="360" w:lineRule="auto" w:after="120" w:before="0"/>
        <w:jc w:val="both"/>
      </w:pPr>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line="360" w:lineRule="auto" w:after="120" w:before="0"/>
        <w:jc w:val="both"/>
      </w:pPr>
      <w:r>
        <w:rPr>
          <w:b/>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Pr>
        <w:spacing w:line="360" w:lineRule="auto" w:after="120" w:before="0"/>
        <w:jc w:val="both"/>
      </w:pPr>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pPr>
        <w:spacing w:line="360" w:lineRule="auto" w:after="120" w:before="0"/>
        <w:jc w:val="both"/>
      </w:pPr>
      <w:r>
        <w:t>To confirm that the connector operated outside a controlled local folder, it was run against a live mailbox hosted by a commercial provider. A disposable account was created for the purpose, application-specific credentials were issued for it, and four test messages were sent to it: one ordinary meeting request and three phishing messages of the credential-harvesting, fraudulent invoice and account-suspension types. The connector authenticated over an encrypted IMAP connection on port 993, retrieved each message in its complete RFC 5322 form and scored it with the same saved model used throughout Chapter 6, with no change to the classifier, its features or its decision threshold.</w:t>
      </w:r>
    </w:p>
    <w:p>
      <w:pPr>
        <w:spacing w:line="360" w:lineRule="auto" w:after="120" w:before="0"/>
        <w:jc w:val="both"/>
      </w:pPr>
      <w:r>
        <w:t>An unanticipated but instructive observation arose during this run. The provider applied its own filter before delivery and placed all four test messages, including the legitimate meeting request, in its spam folder, so that none of them reached the inbox. The connector was therefore directed at that folder instead, which had the useful effect of turning the exercise into an independent second opinion on messages the provider had already judged. Figure 5.5 records the result: the three phishing messages were assigned spam probabilities of 97.6%, 98.7% and 99.8% and were flagged, whereas the legitimate meeting request received 27.4% and was correctly released as legitimate. The proposed detector thus agreed with the provider on the three genuine phishing messages and disagreed on the one legitimate message, which the provider had filtered and the detector did not. This single observation is a demonstration of deployment, not a measurement of comparative accuracy, and no general claim about the relative performance of the two systems is drawn from it; the quantitative results in Chapter 6 rest entirely on the held-out corpus and the external test sets. It does, however, confirm that the detector operates correctly on live network mail and that the false-positive behaviour examined in Section 6.2.2 is a practical concern for deployed filters in general.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5.5: Live IMAP run scoring four messages retrieved from a commercial mailbox, showing three phishing messages flagged and one legitimate message released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five configurations were compared metric by metric on the same held-out split.</w:t>
      </w:r>
    </w:p>
    <w:p>
      <w:pPr>
        <w:spacing w:line="360" w:lineRule="auto" w:after="120" w:before="0"/>
        <w:jc w:val="both"/>
      </w:pPr>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pPr>
        <w:spacing w:line="360" w:lineRule="auto" w:after="120" w:before="0"/>
        <w:jc w:val="both"/>
      </w:pPr>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pPr>
        <w:spacing w:line="360" w:lineRule="auto" w:after="120" w:before="0"/>
        <w:jc w:val="both"/>
      </w:pPr>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pPr>
        <w:spacing w:line="360" w:lineRule="auto" w:after="120" w:before="0"/>
        <w:jc w:val="both"/>
      </w:pPr>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0.810 to 0.945 — a 16.7% relative improvement in ranking quality —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threshold 0.55</w:t>
            </w:r>
          </w:p>
        </w:tc>
        <w:tc>
          <w:tcPr>
            <w:tcW w:type="dxa" w:w="3024"/>
          </w:tcPr>
          <w:p>
            <w:pPr>
              <w:spacing w:line="240" w:lineRule="auto" w:after="40"/>
              <w:jc w:val="left"/>
            </w:pPr>
            <w:r>
              <w:rPr>
                <w:rFonts w:ascii="Times New Roman" w:hAnsi="Times New Roman"/>
                <w:sz w:val="21"/>
              </w:rPr>
            </w:r>
            <w:r>
              <w:rPr>
                <w:rFonts w:ascii="Times New Roman" w:hAnsi="Times New Roman"/>
                <w:sz w:val="21"/>
              </w:rPr>
              <w:t>95%</w:t>
            </w:r>
          </w:p>
        </w:tc>
        <w:tc>
          <w:tcPr>
            <w:tcW w:type="dxa" w:w="3024"/>
          </w:tcPr>
          <w:p>
            <w:pPr>
              <w:spacing w:line="240" w:lineRule="auto" w:after="40"/>
              <w:jc w:val="left"/>
            </w:pPr>
            <w:r>
              <w:rPr>
                <w:rFonts w:ascii="Times New Roman" w:hAnsi="Times New Roman"/>
                <w:sz w:val="21"/>
              </w:rPr>
            </w:r>
            <w:r>
              <w:rPr>
                <w:rFonts w:ascii="Times New Roman" w:hAnsi="Times New Roman"/>
                <w:b/>
                <w:sz w:val="21"/>
              </w:rPr>
              <w:t>95%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same before/after comparison was also applied to a second, independent held-out set, on which the baseline detector was already close to its ceiling at ROC-AUC 0.965 and 100% recall. After the same retraining cycle, recall on that set remained at 100% while ROC-AUC moved slightly to 0.951. Adaptation therefore did not improve a set on which there was effectively no headroom to gain, and the small change in ranking quality is within the variation expected from refitting on a marginally different training sample. This outcome is reported because it delimits the claim: reviewed feedback improves detection for threat families the baseline handles poorly, and neither improves nor materially harms performance where the baseline is already near-perfect.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Pr>
        <w:spacing w:line="360" w:lineRule="auto" w:after="120" w:before="0"/>
        <w:jc w:val="both"/>
      </w:pPr>
      <w:r>
        <w:t>Unlike the proprietary commercial filters, the proposed system is open-source and runs entirely locally, so its results are reproducible and can be benchmarked offline, whereas the providers' models cannot be independently re-tested.</w:t>
      </w:r>
    </w:p>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~13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0.810 → 0.945; recall maintained at 95%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0.810 to 0.945, while recall was maintained at 95% and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Weekly / Bi-weekly Log</w:t>
      </w:r>
    </w:p>
    <w:p>
      <w:pPr>
        <w:spacing w:line="360" w:lineRule="auto" w:after="120" w:before="0"/>
        <w:jc w:val="both"/>
      </w:pPr>
      <w:r>
        <w:t>[FILL IN: insert at least six bi-weekly/weekly progress report forms signed by the supervisor.]</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