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primary actor was an IT administrator or reviewer. A secondary, automated actor was a mail automation workflow that called the service. Figure 3.2 presents the use-case diagram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An email is pasted in the review console, submitted to the prediction service, or picked up by the mailbox watcher.</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verdict and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returns a label, spam probability and the structural signals that fired.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flagged mail</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watcher</w:t>
            </w:r>
          </w:p>
        </w:tc>
        <w:tc>
          <w:tcPr>
            <w:tcW w:type="dxa" w:w="3024"/>
          </w:tcPr>
          <w:p>
            <w:pPr>
              <w:spacing w:line="240" w:lineRule="auto" w:after="40"/>
              <w:jc w:val="left"/>
            </w:pPr>
            <w:r>
              <w:rPr>
                <w:rFonts w:ascii="Times New Roman" w:hAnsi="Times New Roman"/>
                <w:sz w:val="21"/>
              </w:rPr>
            </w:r>
            <w:r>
              <w:rPr>
                <w:rFonts w:ascii="Times New Roman" w:hAnsi="Times New Roman"/>
                <w:sz w:val="21"/>
              </w:rPr>
              <w:t>Messages above threshold are moved to a quarantine folder in quarantine mode.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misclassification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marks a result as spam/ham/correct; the correction is appended to the labelled feedback store.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Retrain on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scheduler</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Reviewed labels are merged with training data and a new model is fitted, validated and redeployed.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 predictions</w:t>
            </w:r>
          </w:p>
        </w:tc>
        <w:tc>
          <w:tcPr>
            <w:tcW w:type="dxa" w:w="3024"/>
          </w:tcPr>
          <w:p>
            <w:pPr>
              <w:spacing w:line="240" w:lineRule="auto" w:after="40"/>
              <w:jc w:val="left"/>
            </w:pPr>
            <w:r>
              <w:rPr>
                <w:rFonts w:ascii="Times New Roman" w:hAnsi="Times New Roman"/>
                <w:sz w:val="21"/>
              </w:rPr>
            </w:r>
            <w:r>
              <w:rPr>
                <w:rFonts w:ascii="Times New Roman" w:hAnsi="Times New Roman"/>
                <w:sz w:val="21"/>
              </w:rPr>
              <w:t>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External workflows obtain scores through the REST API.</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Formally, precision was TP/(TP+FP), recall was TP/(TP+FN), and the F1 score was their harmonic mean. A threshold sweep reported phishing recall at a low (≤5%) false-positive operating point.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jc w:val="center"/>
      </w:pPr>
      <w:r>
        <w:rPr>
          <w:i/>
        </w:rPr>
        <w:t>FIGURE 5.1: Software and virtual-environment setup.</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
      <w:r>
        <w:t>The version numbers in Table 5.2 matched the minimum versions recorded in the requirements file, so the environment could be recreated exactly. The python-docx library (1.1+) was used only to generate this report document and was not part of the detection system.</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Environment policy.</w:t>
      </w:r>
      <w:r>
        <w:t xml:space="preserve"> A Windows application-control policy initially blocked a scientific-library binary; installing official prebuilt packages resolved the issue.</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w:t>
      </w:r>
    </w:p>
    <w:p>
      <w:pPr>
        <w:jc w:val="center"/>
      </w:pPr>
      <w:r>
        <w:rPr>
          <w:i/>
        </w:rPr>
        <w:t>FIGURE 6.1: Confusion matrix of the fused model on the held-out test split.</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Live mailbox integration.</w:t>
      </w:r>
      <w:r>
        <w:t xml:space="preserve"> Connect the API to a live mailbox through an automation platform or mail-transfer agent, with quarantine and a reviewer dashboard, under appropriate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