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CHANGES ONLY — paste-ready sections</w:t>
      </w:r>
    </w:p>
    <w:p>
      <w:pPr>
        <w:jc w:val="left"/>
      </w:pPr>
      <w:r>
        <w:t>This document contains ONLY the sections that changed in the latest round, in order. For each blue banner, open the matching section of your own report, delete the old text/table, and copy the heading, paragraphs and table from here. Tables are already real tables — they paste as tables. Yellow boxes mark where a picture goes. Anything not shown here is unchanged. Do not include the blue banner or yellow boxes in your final report.</w:t>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 of 22)</w:t>
            </w:r>
          </w:p>
          <w:p>
            <w:pPr>
              <w:spacing w:after="40"/>
            </w:pPr>
            <w:r>
              <w:rPr>
                <w:rFonts w:ascii="Times New Roman" w:hAnsi="Times New Roman"/>
                <w:color w:val="555555"/>
                <w:sz w:val="20"/>
              </w:rPr>
              <w:t>FRONT MATTER - List of Figures (added Figures 1.2 and 1.3)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FIGURES</w:t>
      </w:r>
    </w:p>
    <w:p>
      <w:pPr>
        <w:spacing w:line="360" w:lineRule="auto" w:after="120" w:before="0"/>
        <w:jc w:val="both"/>
      </w:pPr>
      <w:r>
        <w:t>- Figure 1.1 Spam as a share of worldwide email traffic in 2024 (Kaspersky Securelist). - Figure 1.2 Phishing attacks recorded per quarter in 2024 (Anti-Phishing Working Group). - Figure 1.3 Key email-security threat statistics summary. - Figure 2.1 Taxonomy of spam-detection approaches and the position of this project. - Figure 2.2 Rule- / keyword-based filtering. - Figure 2.3 Content-based statistical (machine-learning) classification. - Figure 2.4 Metadata / reputation-based filtering. - Figure 2.5 Hybrid content–metadata fusion classification. - Figure 3.1 System architecture of the adaptive fusion spam-detection framework. - Figure 3.2 Use-case diagram for the reviewer/administrator actor. - Figure 3.3 Activity diagram for scoring, review and adaptive retraining. - Figure 4.1 System block diagram (ingestion, features, fusion, action, adaptation). - Figure 5.1 Software and virtual-environment setup. - Figure 5.2 Browser check-and-review console showing a phishing verdict and signal chips. - Figure 5.3 Example service prediction response (label, probability and signals). - Figure 5.4 Mailbox watch run quarantining a flagged message. - Figure 6.1 Confusion matrix of the fused model on the held-out test split (n = 20,288). - Figure 6.2 ROC curve and threshold sweep for the fused model. - Figure 6.3 Catch rate versus decision threshold on the LLM-phishing set. - Figure 6.4 ROC curves before and after one adaptive retraining cycle. - Appendix A Poster.</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 of 22)</w:t>
            </w:r>
          </w:p>
          <w:p>
            <w:pPr>
              <w:spacing w:after="40"/>
            </w:pPr>
            <w:r>
              <w:rPr>
                <w:rFonts w:ascii="Times New Roman" w:hAnsi="Times New Roman"/>
                <w:color w:val="555555"/>
                <w:sz w:val="20"/>
              </w:rPr>
              <w:t>FRONT MATTER - List of Tables (renumbered 5.1/5.2/5.3)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TABLES</w:t>
      </w:r>
    </w:p>
    <w:p>
      <w:pPr>
        <w:spacing w:line="360" w:lineRule="auto" w:after="120" w:before="0"/>
        <w:jc w:val="both"/>
      </w:pPr>
      <w:r>
        <w:t>- Table 2.1 Comparison of detection paradigms. - Table 2.2 Review of existing methods and their limitations. - Table 3.1 Use-case descriptions. - Table 3.2 Integrated public corpus and class distribution. - Table 4.1 Component modules and responsibilities. - Table 4.2 The twelve structural metadata signals. - Table 5.1 Specifications of the development machine. - Table 5.2 Software and libraries used in the project. - Table 5.3 Model and feature hyper-parameters. - Table 6.1 Held-out performance of the deployed fused model. - Table 6.2 Classifier and feature-group comparison (Objective 3). - Table 6.3 Detection of genuine LLM-generated phishing (n = 4,986). - Table 6.4 Before/after adaptive retraining on held-out modern-threat email. - Table 6.5 Commercial-filter comparison: vendor-reported and independently measured AI-phishing detection. - Table 6.6 Comparison with published classical models on comparable public corpora. - Table 6.7 Objectives evaluation summary.</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(3 of 22)</w:t>
            </w:r>
          </w:p>
          <w:p>
            <w:pPr>
              <w:spacing w:after="40"/>
            </w:pPr>
            <w:r>
              <w:rPr>
                <w:rFonts w:ascii="Times New Roman" w:hAnsi="Times New Roman"/>
                <w:color w:val="555555"/>
                <w:sz w:val="20"/>
              </w:rPr>
              <w:t>CHAPTER 1 - opener (new Figures 1.2/1.3 + BEC/phishing/Verizon stats)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1: INTRODUCTION</w:t>
      </w:r>
    </w:p>
    <w:p>
      <w:pPr>
        <w:spacing w:line="360" w:lineRule="auto" w:after="120" w:before="0"/>
        <w:jc w:val="both"/>
      </w:pPr>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spacing w:before="120" w:after="40"/>
        <w:jc w:val="center"/>
      </w:pPr>
      <w:r>
        <w:drawing>
          <wp:inline xmlns:a="http://schemas.openxmlformats.org/drawingml/2006/main" xmlns:pic="http://schemas.openxmlformats.org/drawingml/2006/picture">
            <wp:extent cx="5303520" cy="6231636"/>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9"/>
                    <a:stretch>
                      <a:fillRect/>
                    </a:stretch>
                  </pic:blipFill>
                  <pic:spPr>
                    <a:xfrm>
                      <a:off x="0" y="0"/>
                      <a:ext cx="5303520" cy="6231636"/>
                    </a:xfrm>
                    <a:prstGeom prst="rect"/>
                  </pic:spPr>
                </pic:pic>
              </a:graphicData>
            </a:graphic>
          </wp:inline>
        </w:drawing>
      </w:r>
    </w:p>
    <w:p>
      <w:pPr>
        <w:spacing w:after="160"/>
        <w:jc w:val="center"/>
      </w:pPr>
      <w:r>
        <w:rPr>
          <w:rFonts w:ascii="Times New Roman" w:hAnsi="Times New Roman"/>
          <w:i/>
          <w:color w:val="555555"/>
          <w:sz w:val="18"/>
        </w:rPr>
        <w:t>Figure 1.1: Spam as a share of worldwide email traffic in 2024 (Kaspersky Securelist [18</w:t>
      </w:r>
    </w:p>
    <w:p>
      <w:pPr>
        <w:spacing w:line="360" w:lineRule="auto" w:after="120" w:before="0"/>
        <w:jc w:val="both"/>
      </w:pPr>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spacing w:before="120" w:after="40"/>
        <w:jc w:val="center"/>
      </w:pPr>
      <w:r>
        <w:drawing>
          <wp:inline xmlns:a="http://schemas.openxmlformats.org/drawingml/2006/main" xmlns:pic="http://schemas.openxmlformats.org/drawingml/2006/picture">
            <wp:extent cx="5303520" cy="3479617"/>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0"/>
                    <a:stretch>
                      <a:fillRect/>
                    </a:stretch>
                  </pic:blipFill>
                  <pic:spPr>
                    <a:xfrm>
                      <a:off x="0" y="0"/>
                      <a:ext cx="5303520" cy="3479617"/>
                    </a:xfrm>
                    <a:prstGeom prst="rect"/>
                  </pic:spPr>
                </pic:pic>
              </a:graphicData>
            </a:graphic>
          </wp:inline>
        </w:drawing>
      </w:r>
    </w:p>
    <w:p>
      <w:pPr>
        <w:spacing w:after="160"/>
        <w:jc w:val="center"/>
      </w:pPr>
      <w:r>
        <w:rPr>
          <w:rFonts w:ascii="Times New Roman" w:hAnsi="Times New Roman"/>
          <w:i/>
          <w:color w:val="555555"/>
          <w:sz w:val="18"/>
        </w:rPr>
        <w:t>Figure 1.2: Phishing attacks recorded per quarter in 2024 (Anti-Phishing Working Group [20</w:t>
      </w:r>
    </w:p>
    <w:p>
      <w:pPr>
        <w:spacing w:line="360" w:lineRule="auto" w:after="120" w:before="0"/>
        <w:jc w:val="both"/>
      </w:pPr>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spacing w:before="120" w:after="40"/>
        <w:jc w:val="center"/>
      </w:pPr>
      <w:r>
        <w:drawing>
          <wp:inline xmlns:a="http://schemas.openxmlformats.org/drawingml/2006/main" xmlns:pic="http://schemas.openxmlformats.org/drawingml/2006/picture">
            <wp:extent cx="5303520" cy="1996825"/>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1"/>
                    <a:stretch>
                      <a:fillRect/>
                    </a:stretch>
                  </pic:blipFill>
                  <pic:spPr>
                    <a:xfrm>
                      <a:off x="0" y="0"/>
                      <a:ext cx="5303520" cy="1996825"/>
                    </a:xfrm>
                    <a:prstGeom prst="rect"/>
                  </pic:spPr>
                </pic:pic>
              </a:graphicData>
            </a:graphic>
          </wp:inline>
        </w:drawing>
      </w:r>
    </w:p>
    <w:p>
      <w:pPr>
        <w:spacing w:after="160"/>
        <w:jc w:val="center"/>
      </w:pPr>
      <w:r>
        <w:rPr>
          <w:rFonts w:ascii="Times New Roman" w:hAnsi="Times New Roman"/>
          <w:i/>
          <w:color w:val="555555"/>
          <w:sz w:val="18"/>
        </w:rPr>
        <w:t>Figure 1.3: Summary of key email-security threat statistics from recent official reports</w:t>
      </w:r>
    </w:p>
    <w:p>
      <w:pPr>
        <w:spacing w:line="360" w:lineRule="auto" w:after="120" w:before="0"/>
        <w:jc w:val="both"/>
      </w:pPr>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pPr>
        <w:spacing w:line="360" w:lineRule="auto" w:after="120" w:before="0"/>
        <w:jc w:val="both"/>
      </w:pPr>
      <w:r>
        <w:t>The remainder of this chapter states the problem and motivation (Section 1.1), lists the objectives (Section 1.2), defines the project scope (Section 1.3), states the contributions (Section 1.4) and outlines the organisation of the report (Section 1.5).</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(4 of 22)</w:t>
            </w:r>
          </w:p>
          <w:p>
            <w:pPr>
              <w:spacing w:after="40"/>
            </w:pPr>
            <w:r>
              <w:rPr>
                <w:rFonts w:ascii="Times New Roman" w:hAnsi="Times New Roman"/>
                <w:color w:val="555555"/>
                <w:sz w:val="20"/>
              </w:rPr>
              <w:t>SECTION 1.1 - added citations [4][5][19]</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1.1 Problem Statement and Motivation</w:t>
      </w:r>
    </w:p>
    <w:p>
      <w:pPr>
        <w:spacing w:line="360" w:lineRule="auto" w:after="120" w:before="0"/>
        <w:jc w:val="both"/>
      </w:pPr>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pPr>
        <w:spacing w:line="360" w:lineRule="auto" w:after="120" w:before="0"/>
        <w:jc w:val="both"/>
      </w:pPr>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pPr>
        <w:spacing w:line="360" w:lineRule="auto" w:after="120" w:before="0"/>
        <w:jc w:val="both"/>
      </w:pPr>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(5 of 22)</w:t>
            </w:r>
          </w:p>
          <w:p>
            <w:pPr>
              <w:spacing w:after="40"/>
            </w:pPr>
            <w:r>
              <w:rPr>
                <w:rFonts w:ascii="Times New Roman" w:hAnsi="Times New Roman"/>
                <w:color w:val="555555"/>
                <w:sz w:val="20"/>
              </w:rPr>
              <w:t>REFERENCES - new entries [18] Kaspersky, [19] FBI IC3, [20] APWG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spacing w:line="360" w:lineRule="auto" w:after="120"/>
        <w:jc w:val="both"/>
      </w:pPr>
      <w:r>
        <w:t>[18] Kaspersky, "Spam and phishing in 2024," Securelist, Kaspersky Lab, Feb. 2025. [Online]. Available: https://securelist.com/spam-and-phishing-report-2024/115536/</w:t>
      </w:r>
    </w:p>
    <w:p>
      <w:pPr>
        <w:spacing w:line="360" w:lineRule="auto" w:after="120"/>
        <w:jc w:val="both"/>
      </w:pPr>
      <w:r>
        <w:t>[19] Federal Bureau of Investigation, "2024 Internet Crime Report," Internet Crime Complaint Center (IC3), 2025. [Online]. Available: https://www.ic3.gov/AnnualReport/Reports</w:t>
      </w:r>
    </w:p>
    <w:p>
      <w:pPr>
        <w:spacing w:line="360" w:lineRule="auto" w:after="120"/>
        <w:jc w:val="both"/>
      </w:pPr>
      <w:r>
        <w:t>[20] Anti-Phishing Working Group, "Phishing Activity Trends Report, 2024," APWG, 2024-2025. [Online]. Available: https://apwg.org/resources/phishingactivitytrends/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(6 of 22)</w:t>
            </w:r>
          </w:p>
          <w:p>
            <w:pPr>
              <w:spacing w:after="40"/>
            </w:pPr>
            <w:r>
              <w:rPr>
                <w:rFonts w:ascii="Times New Roman" w:hAnsi="Times New Roman"/>
                <w:color w:val="555555"/>
                <w:sz w:val="20"/>
              </w:rPr>
              <w:t>SECTION 2.1.2 - removed 'also tested on Linux' claim (Windows 11 only)</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2.1.2 Firmware / Operating System</w:t>
      </w:r>
    </w:p>
    <w:p>
      <w:pPr>
        <w:spacing w:line="360" w:lineRule="auto" w:after="120" w:before="0"/>
        <w:jc w:val="both"/>
      </w:pPr>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(7 of 22)</w:t>
            </w:r>
          </w:p>
          <w:p>
            <w:pPr>
              <w:spacing w:after="40"/>
            </w:pPr>
            <w:r>
              <w:rPr>
                <w:rFonts w:ascii="Times New Roman" w:hAnsi="Times New Roman"/>
                <w:color w:val="555555"/>
                <w:sz w:val="20"/>
              </w:rPr>
              <w:t>SECTION 2.4 - 'Python virtual environment'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2.4 Summary</w:t>
      </w:r>
    </w:p>
    <w:p>
      <w:pPr>
        <w:spacing w:line="360" w:lineRule="auto" w:after="120" w:before="0"/>
        <w:jc w:val="both"/>
      </w:pPr>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(8 of 22)</w:t>
            </w:r>
          </w:p>
          <w:p>
            <w:pPr>
              <w:spacing w:after="40"/>
            </w:pPr>
            <w:r>
              <w:rPr>
                <w:rFonts w:ascii="Times New Roman" w:hAnsi="Times New Roman"/>
                <w:color w:val="555555"/>
                <w:sz w:val="20"/>
              </w:rPr>
              <w:t>SECTION 3.1 (use-case table) - generic service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3.1.2 Use Case Diagram and Description</w:t>
      </w:r>
    </w:p>
    <w:p>
      <w:pPr>
        <w:spacing w:line="360" w:lineRule="auto" w:after="120" w:before="0"/>
        <w:jc w:val="both"/>
      </w:pPr>
      <w:r>
        <w:t>The primary actor was an IT administrator or reviewer. A secondary, automated actor was a mail automation workflow that called the service. Figure 3.2 presents the use-case diagram and Table 3.1 describes each use case.</w:t>
      </w:r>
    </w:p>
    <w:p>
      <w:pPr>
        <w:spacing w:before="120" w:after="40"/>
        <w:jc w:val="center"/>
      </w:pPr>
      <w:r>
        <w:drawing>
          <wp:inline xmlns:a="http://schemas.openxmlformats.org/drawingml/2006/main" xmlns:pic="http://schemas.openxmlformats.org/drawingml/2006/picture">
            <wp:extent cx="5303520" cy="4653088"/>
            <wp:docPr id="4" name="Picture 4"/>
            <wp:cNvGraphicFramePr>
              <a:graphicFrameLocks noChangeAspect="1"/>
            </wp:cNvGraphicFramePr>
            <a:graphic>
              <a:graphicData uri="http://schemas.openxmlformats.org/drawingml/2006/picture">
                <pic:pic>
                  <pic:nvPicPr>
                    <pic:cNvPr id="0" name="fig3_2_use_case.png"/>
                    <pic:cNvPicPr/>
                  </pic:nvPicPr>
                  <pic:blipFill>
                    <a:blip r:embed="rId12"/>
                    <a:stretch>
                      <a:fillRect/>
                    </a:stretch>
                  </pic:blipFill>
                  <pic:spPr>
                    <a:xfrm>
                      <a:off x="0" y="0"/>
                      <a:ext cx="5303520" cy="4653088"/>
                    </a:xfrm>
                    <a:prstGeom prst="rect"/>
                  </pic:spPr>
                </pic:pic>
              </a:graphicData>
            </a:graphic>
          </wp:inline>
        </w:drawing>
      </w:r>
    </w:p>
    <w:p>
      <w:pPr>
        <w:spacing w:after="160"/>
        <w:jc w:val="center"/>
      </w:pPr>
      <w:r>
        <w:rPr>
          <w:rFonts w:ascii="Times New Roman" w:hAnsi="Times New Roman"/>
          <w:i/>
          <w:color w:val="555555"/>
          <w:sz w:val="18"/>
        </w:rPr>
        <w:t>Figure 3.2: Use-case diagram for the reviewer/administrator actor</w:t>
      </w:r>
    </w:p>
    <w:p>
      <w:pPr>
        <w:spacing w:line="360" w:lineRule="auto" w:after="120" w:before="0"/>
        <w:jc w:val="both"/>
      </w:pPr>
      <w:r>
        <w:rPr>
          <w:b/>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automation</w:t>
            </w:r>
          </w:p>
        </w:tc>
        <w:tc>
          <w:tcPr>
            <w:tcW w:type="dxa" w:w="3024"/>
          </w:tcPr>
          <w:p>
            <w:pPr>
              <w:spacing w:line="240" w:lineRule="auto" w:after="40"/>
              <w:jc w:val="left"/>
            </w:pPr>
            <w:r>
              <w:rPr>
                <w:rFonts w:ascii="Times New Roman" w:hAnsi="Times New Roman"/>
                <w:sz w:val="21"/>
              </w:rPr>
            </w:r>
            <w:r>
              <w:rPr>
                <w:rFonts w:ascii="Times New Roman" w:hAnsi="Times New Roman"/>
                <w:sz w:val="21"/>
              </w:rPr>
              <w:t>An email is pasted in the review console, submitted to the prediction service, or picked up by the mailbox watcher.</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verdict and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returns a label, spam probability and the structural signals that fired.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Quarantine flagged mail</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watcher</w:t>
            </w:r>
          </w:p>
        </w:tc>
        <w:tc>
          <w:tcPr>
            <w:tcW w:type="dxa" w:w="3024"/>
          </w:tcPr>
          <w:p>
            <w:pPr>
              <w:spacing w:line="240" w:lineRule="auto" w:after="40"/>
              <w:jc w:val="left"/>
            </w:pPr>
            <w:r>
              <w:rPr>
                <w:rFonts w:ascii="Times New Roman" w:hAnsi="Times New Roman"/>
                <w:sz w:val="21"/>
              </w:rPr>
            </w:r>
            <w:r>
              <w:rPr>
                <w:rFonts w:ascii="Times New Roman" w:hAnsi="Times New Roman"/>
                <w:sz w:val="21"/>
              </w:rPr>
              <w:t>Messages above threshold are moved to a quarantine folder in quarantine mode.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misclassification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w:t>
            </w:r>
          </w:p>
        </w:tc>
        <w:tc>
          <w:tcPr>
            <w:tcW w:type="dxa" w:w="3024"/>
          </w:tcPr>
          <w:p>
            <w:pPr>
              <w:spacing w:line="240" w:lineRule="auto" w:after="40"/>
              <w:jc w:val="left"/>
            </w:pPr>
            <w:r>
              <w:rPr>
                <w:rFonts w:ascii="Times New Roman" w:hAnsi="Times New Roman"/>
                <w:sz w:val="21"/>
              </w:rPr>
            </w:r>
            <w:r>
              <w:rPr>
                <w:rFonts w:ascii="Times New Roman" w:hAnsi="Times New Roman"/>
                <w:sz w:val="21"/>
              </w:rPr>
              <w:t>The reviewer marks a result as spam/ham/correct; the correction is appended to the labelled feedback store.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Retrain on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scheduler</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Reviewed labels are merged with training data and a new model is fitted, validated and redeployed.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Serve predictions</w:t>
            </w:r>
          </w:p>
        </w:tc>
        <w:tc>
          <w:tcPr>
            <w:tcW w:type="dxa" w:w="3024"/>
          </w:tcPr>
          <w:p>
            <w:pPr>
              <w:spacing w:line="240" w:lineRule="auto" w:after="40"/>
              <w:jc w:val="left"/>
            </w:pPr>
            <w:r>
              <w:rPr>
                <w:rFonts w:ascii="Times New Roman" w:hAnsi="Times New Roman"/>
                <w:sz w:val="21"/>
              </w:rPr>
            </w:r>
            <w:r>
              <w:rPr>
                <w:rFonts w:ascii="Times New Roman" w:hAnsi="Times New Roman"/>
                <w:sz w:val="21"/>
              </w:rPr>
              <w:t>Automation</w:t>
            </w:r>
          </w:p>
        </w:tc>
        <w:tc>
          <w:tcPr>
            <w:tcW w:type="dxa" w:w="3024"/>
          </w:tcPr>
          <w:p>
            <w:pPr>
              <w:spacing w:line="240" w:lineRule="auto" w:after="40"/>
              <w:jc w:val="left"/>
            </w:pPr>
            <w:r>
              <w:rPr>
                <w:rFonts w:ascii="Times New Roman" w:hAnsi="Times New Roman"/>
                <w:sz w:val="21"/>
              </w:rPr>
            </w:r>
            <w:r>
              <w:rPr>
                <w:rFonts w:ascii="Times New Roman" w:hAnsi="Times New Roman"/>
                <w:sz w:val="21"/>
              </w:rPr>
              <w:t>External workflows obtain scores through the REST API.</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(9 of 22)</w:t>
            </w:r>
          </w:p>
          <w:p>
            <w:pPr>
              <w:spacing w:after="40"/>
            </w:pPr>
            <w:r>
              <w:rPr>
                <w:rFonts w:ascii="Times New Roman" w:hAnsi="Times New Roman"/>
                <w:color w:val="555555"/>
                <w:sz w:val="20"/>
              </w:rPr>
              <w:t>SECTION 3.3 - added plain-English TF-IDF explanation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3.3 Feature Extraction and Classification Approach</w:t>
      </w:r>
    </w:p>
    <w:p>
      <w:pPr>
        <w:spacing w:line="360" w:lineRule="auto" w:after="120" w:before="0"/>
        <w:jc w:val="both"/>
      </w:pPr>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w:t>
      </w:r>
    </w:p>
    <w:p>
      <w:pPr>
        <w:spacing w:line="360" w:lineRule="auto" w:after="120" w:before="0"/>
        <w:jc w:val="both"/>
      </w:pPr>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w:t>
      </w:r>
    </w:p>
    <w:p>
      <w:pPr>
        <w:spacing w:line="360" w:lineRule="auto" w:after="120" w:before="0"/>
        <w:jc w:val="both"/>
      </w:pPr>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pPr>
        <w:spacing w:line="360" w:lineRule="auto" w:after="120" w:before="0"/>
        <w:jc w:val="both"/>
      </w:pPr>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(10 of 22)</w:t>
            </w:r>
          </w:p>
          <w:p>
            <w:pPr>
              <w:spacing w:after="40"/>
            </w:pPr>
            <w:r>
              <w:rPr>
                <w:rFonts w:ascii="Times New Roman" w:hAnsi="Times New Roman"/>
                <w:color w:val="555555"/>
                <w:sz w:val="20"/>
              </w:rPr>
              <w:t>SECTION 3.4 - added plain definitions of TP/FP/FN/TN and the metrics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3.4 Evaluation Design and Performance Definitions</w:t>
      </w:r>
    </w:p>
    <w:p>
      <w:pPr>
        <w:spacing w:line="360" w:lineRule="auto" w:after="120" w:before="0"/>
        <w:jc w:val="both"/>
      </w:pPr>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Formally, precision was TP/(TP+FP), recall was TP/(TP+FN), and the F1 score was their harmonic mean. A threshold sweep reported phishing recall at a low (≤5%) false-positive operating point.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(11 of 22)</w:t>
            </w:r>
          </w:p>
          <w:p>
            <w:pPr>
              <w:spacing w:after="40"/>
            </w:pPr>
            <w:r>
              <w:rPr>
                <w:rFonts w:ascii="Times New Roman" w:hAnsi="Times New Roman"/>
                <w:color w:val="555555"/>
                <w:sz w:val="20"/>
              </w:rPr>
              <w:t>SECTION 4.1 - fixed broken sentence / removed code names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4.1 System Block Diagram</w:t>
      </w:r>
    </w:p>
    <w:p>
      <w:pPr>
        <w:spacing w:line="360" w:lineRule="auto" w:after="120" w:before="0"/>
        <w:jc w:val="both"/>
      </w:pPr>
      <w:r>
        <w:t>The system comprised five top-level blocks, shown in Figure 4.1:</w:t>
      </w:r>
    </w:p>
    <w:p>
      <w:pPr>
        <w:spacing w:line="360" w:lineRule="auto" w:after="120" w:before="0"/>
        <w:jc w:val="both"/>
      </w:pPr>
      <w:r>
        <w:t xml:space="preserve">1. </w:t>
      </w:r>
      <w:r>
        <w:rPr>
          <w:b/>
        </w:rPr>
        <w:t>Ingestion</w:t>
      </w:r>
      <w:r>
        <w:t xml:space="preserve"> — a request to the detection service, a mailbox folder watcher, or a local file. 2. </w:t>
      </w:r>
      <w:r>
        <w:rPr>
          <w:b/>
        </w:rPr>
        <w:t>Parsing and feature extraction</w:t>
      </w:r>
      <w:r>
        <w:t xml:space="preserve"> — robust RFC-5322 parsing producing content text and the twelve metadata signals, with crash-safe handling of malformed mail. 3. </w:t>
      </w:r>
      <w:r>
        <w:rPr>
          <w:b/>
        </w:rPr>
        <w:t>Fusion classifier</w:t>
      </w:r>
      <w:r>
        <w:t xml:space="preserve"> — the word/character/metadata feature union, standardisation and the logistic-regression classifier. 4. </w:t>
      </w:r>
      <w:r>
        <w:rPr>
          <w:b/>
        </w:rPr>
        <w:t>Action and decision</w:t>
      </w:r>
      <w:r>
        <w:t xml:space="preserve"> — threshold comparison, labelling, quarantine and signal explanation. 5. </w:t>
      </w:r>
      <w:r>
        <w:rPr>
          <w:b/>
        </w:rPr>
        <w:t>Adaptation</w:t>
      </w:r>
      <w:r>
        <w:t xml:space="preserve"> — the review queue, feedback store and scheduled retraining path.</w:t>
      </w:r>
    </w:p>
    <w:p>
      <w:pPr>
        <w:spacing w:before="120" w:after="40"/>
        <w:jc w:val="center"/>
      </w:pPr>
      <w:r>
        <w:drawing>
          <wp:inline xmlns:a="http://schemas.openxmlformats.org/drawingml/2006/main" xmlns:pic="http://schemas.openxmlformats.org/drawingml/2006/picture">
            <wp:extent cx="5303520" cy="3335635"/>
            <wp:docPr id="5" name="Picture 5"/>
            <wp:cNvGraphicFramePr>
              <a:graphicFrameLocks noChangeAspect="1"/>
            </wp:cNvGraphicFramePr>
            <a:graphic>
              <a:graphicData uri="http://schemas.openxmlformats.org/drawingml/2006/picture">
                <pic:pic>
                  <pic:nvPicPr>
                    <pic:cNvPr id="0" name="fig4_1_block_diagram.png"/>
                    <pic:cNvPicPr/>
                  </pic:nvPicPr>
                  <pic:blipFill>
                    <a:blip r:embed="rId13"/>
                    <a:stretch>
                      <a:fillRect/>
                    </a:stretch>
                  </pic:blipFill>
                  <pic:spPr>
                    <a:xfrm>
                      <a:off x="0" y="0"/>
                      <a:ext cx="5303520" cy="3335635"/>
                    </a:xfrm>
                    <a:prstGeom prst="rect"/>
                  </pic:spPr>
                </pic:pic>
              </a:graphicData>
            </a:graphic>
          </wp:inline>
        </w:drawing>
      </w:r>
    </w:p>
    <w:p>
      <w:pPr>
        <w:spacing w:after="160"/>
        <w:jc w:val="center"/>
      </w:pPr>
      <w:r>
        <w:rPr>
          <w:rFonts w:ascii="Times New Roman" w:hAnsi="Times New Roman"/>
          <w:i/>
          <w:color w:val="555555"/>
          <w:sz w:val="18"/>
        </w:rPr>
        <w:t>Figure 4.1: System block diagram of the five main blocks</w:t>
      </w:r>
    </w:p>
    <w:p>
      <w:pPr>
        <w:spacing w:line="360" w:lineRule="auto" w:after="120" w:before="0"/>
        <w:jc w:val="both"/>
      </w:pPr>
      <w:r>
        <w:t>Each block was implemented as an independent, testable module within the detector package, which allowed individual stages to be updated and retrained without rebuilding the whole pipeline. The following section specifies each block in turn.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(12 of 22)</w:t>
            </w:r>
          </w:p>
          <w:p>
            <w:pPr>
              <w:spacing w:after="40"/>
            </w:pPr>
            <w:r>
              <w:rPr>
                <w:rFonts w:ascii="Times New Roman" w:hAnsi="Times New Roman"/>
                <w:color w:val="555555"/>
                <w:sz w:val="20"/>
              </w:rPr>
              <w:t>SECTION 4.2 - RESTRUCTURED: overview Table 4.1 + new subsections 4.2.1-4.2.5</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4.2 System Components Specifications</w:t>
      </w:r>
    </w:p>
    <w:p>
      <w:pPr>
        <w:spacing w:line="360" w:lineRule="auto" w:after="120" w:before="0"/>
        <w:jc w:val="both"/>
      </w:pPr>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line="360" w:lineRule="auto" w:after="120" w:before="0"/>
        <w:jc w:val="both"/>
      </w:pPr>
      <w:r>
        <w:rPr>
          <w:b/>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Pr>
        <w:pStyle w:val="Heading3"/>
        <w:spacing w:before="200" w:after="120"/>
      </w:pPr>
      <w:r>
        <w:t>4.2.1 Data Ingestion and Preparation</w:t>
      </w:r>
    </w:p>
    <w:p>
      <w:pPr>
        <w:spacing w:line="360" w:lineRule="auto" w:after="120" w:before="0"/>
        <w:jc w:val="both"/>
      </w:pPr>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3"/>
        <w:spacing w:before="200" w:after="120"/>
      </w:pPr>
      <w:r>
        <w:t>4.2.2 Email Parsing and Feature Extraction</w:t>
      </w:r>
    </w:p>
    <w:p>
      <w:pPr>
        <w:spacing w:line="360" w:lineRule="auto" w:after="120" w:before="0"/>
        <w:jc w:val="both"/>
      </w:pPr>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3"/>
        <w:spacing w:before="200" w:after="120"/>
      </w:pPr>
      <w:r>
        <w:t>4.2.3 Fusion Classification Engine</w:t>
      </w:r>
    </w:p>
    <w:p>
      <w:pPr>
        <w:spacing w:line="360" w:lineRule="auto" w:after="120" w:before="0"/>
        <w:jc w:val="both"/>
      </w:pPr>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3"/>
        <w:spacing w:before="200" w:after="120"/>
      </w:pPr>
      <w:r>
        <w:t>4.2.4 Detection Service and Mailbox Scanner</w:t>
      </w:r>
    </w:p>
    <w:p>
      <w:pPr>
        <w:spacing w:line="360" w:lineRule="auto" w:after="120" w:before="0"/>
        <w:jc w:val="both"/>
      </w:pPr>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3"/>
        <w:spacing w:before="200" w:after="120"/>
      </w:pPr>
      <w:r>
        <w:t>4.2.5 Review, Feedback and Adaptive Retraining</w:t>
      </w:r>
    </w:p>
    <w:p>
      <w:pPr>
        <w:spacing w:line="360" w:lineRule="auto" w:after="120" w:before="0"/>
        <w:jc w:val="both"/>
      </w:pPr>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(13 of 22)</w:t>
            </w:r>
          </w:p>
          <w:p>
            <w:pPr>
              <w:spacing w:after="40"/>
            </w:pPr>
            <w:r>
              <w:rPr>
                <w:rFonts w:ascii="Times New Roman" w:hAnsi="Times New Roman"/>
                <w:color w:val="555555"/>
                <w:sz w:val="20"/>
              </w:rPr>
              <w:t>SECTION 4.3 - Table 4.2 signals in plain English; code snippets removed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4.3 Data and Feature Design</w:t>
      </w:r>
    </w:p>
    <w:p>
      <w:pPr>
        <w:spacing w:line="360" w:lineRule="auto" w:after="120" w:before="0"/>
        <w:jc w:val="both"/>
      </w:pPr>
      <w:r>
        <w:t>The twelve structural metadata signals are defined in Table 4.2.</w:t>
      </w:r>
    </w:p>
    <w:p>
      <w:pPr>
        <w:spacing w:line="360" w:lineRule="auto" w:after="120" w:before="0"/>
        <w:jc w:val="both"/>
      </w:pPr>
      <w:r>
        <w:rPr>
          <w:b/>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Pr>
        <w:spacing w:line="360" w:lineRule="auto" w:after="120" w:before="0"/>
        <w:jc w:val="both"/>
      </w:pPr>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(14 of 22)</w:t>
            </w:r>
          </w:p>
          <w:p>
            <w:pPr>
              <w:spacing w:after="40"/>
            </w:pPr>
            <w:r>
              <w:rPr>
                <w:rFonts w:ascii="Times New Roman" w:hAnsi="Times New Roman"/>
                <w:color w:val="555555"/>
                <w:sz w:val="20"/>
              </w:rPr>
              <w:t>SECTION 4.4 - removed 'one-line commands' phrase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4.4 System Components Interaction Operations</w:t>
      </w:r>
    </w:p>
    <w:p>
      <w:pPr>
        <w:spacing w:line="360" w:lineRule="auto" w:after="120" w:before="0"/>
        <w:jc w:val="both"/>
      </w:pPr>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(15 of 22)</w:t>
            </w:r>
          </w:p>
          <w:p>
            <w:pPr>
              <w:spacing w:after="40"/>
            </w:pPr>
            <w:r>
              <w:rPr>
                <w:rFonts w:ascii="Times New Roman" w:hAnsi="Times New Roman"/>
                <w:color w:val="555555"/>
                <w:sz w:val="20"/>
              </w:rPr>
              <w:t>CHAPTER 5 - opener + 5.1 Hardware + 5.2 Software + 5.3 Config + 5.4 Operation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5: SYSTEM IMPLEMENTATION</w:t>
      </w:r>
    </w:p>
    <w:p>
      <w:pPr>
        <w:spacing w:line="360" w:lineRule="auto" w:after="120" w:before="0"/>
        <w:jc w:val="both"/>
      </w:pPr>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2"/>
        <w:spacing w:before="200" w:after="120"/>
      </w:pPr>
      <w:r>
        <w:t>5.1 Hardware Setup</w:t>
      </w:r>
    </w:p>
    <w:p>
      <w:pPr>
        <w:spacing w:line="360" w:lineRule="auto" w:after="120" w:before="0"/>
        <w:jc w:val="both"/>
      </w:pPr>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line="360" w:lineRule="auto" w:after="120" w:before="0"/>
        <w:jc w:val="both"/>
      </w:pPr>
      <w:r>
        <w:rPr>
          <w:b/>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Pr>
        <w:spacing w:line="360" w:lineRule="auto" w:after="120" w:before="0"/>
        <w:jc w:val="both"/>
      </w:pPr>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5.1: Software and virtual-environment setup</w:t>
            </w:r>
          </w:p>
        </w:tc>
      </w:tr>
    </w:tbl>
    <w:p>
      <w:pPr>
        <w:pStyle w:val="Heading2"/>
        <w:spacing w:before="200" w:after="120"/>
      </w:pPr>
      <w:r>
        <w:t>5.2 Software Setup</w:t>
      </w:r>
    </w:p>
    <w:p>
      <w:pPr>
        <w:spacing w:line="360" w:lineRule="auto" w:after="120" w:before="0"/>
        <w:jc w:val="both"/>
      </w:pPr>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line="360" w:lineRule="auto" w:after="120" w:before="0"/>
        <w:jc w:val="both"/>
      </w:pPr>
      <w:r>
        <w:rPr>
          <w:b/>
        </w:rPr>
        <w:t>Table 5.2 — Software and libraries used in the project.</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Software / library</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Purpose in the project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Python 3.11</w:t>
            </w:r>
          </w:p>
        </w:tc>
        <w:tc>
          <w:tcPr>
            <w:tcW w:type="dxa" w:w="4536"/>
          </w:tcPr>
          <w:p>
            <w:pPr>
              <w:spacing w:line="240" w:lineRule="auto" w:after="40"/>
              <w:jc w:val="left"/>
            </w:pPr>
            <w:r>
              <w:rPr>
                <w:rFonts w:ascii="Times New Roman" w:hAnsi="Times New Roman"/>
                <w:sz w:val="21"/>
              </w:rPr>
            </w:r>
            <w:r>
              <w:rPr>
                <w:rFonts w:ascii="Times New Roman" w:hAnsi="Times New Roman"/>
                <w:sz w:val="21"/>
              </w:rPr>
              <w:t>Programming language for all scripts and the detection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scikit-learn 1.4+</w:t>
            </w:r>
          </w:p>
        </w:tc>
        <w:tc>
          <w:tcPr>
            <w:tcW w:type="dxa" w:w="4536"/>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Naive Bayes, logistic regression, support-vector machine, feature scaling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NumPy (bundled with scikit-learn)</w:t>
            </w:r>
          </w:p>
        </w:tc>
        <w:tc>
          <w:tcPr>
            <w:tcW w:type="dxa" w:w="4536"/>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Joblib 1.3+</w:t>
            </w:r>
          </w:p>
        </w:tc>
        <w:tc>
          <w:tcPr>
            <w:tcW w:type="dxa" w:w="4536"/>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FastAPI 0.110+</w:t>
            </w:r>
          </w:p>
        </w:tc>
        <w:tc>
          <w:tcPr>
            <w:tcW w:type="dxa" w:w="4536"/>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Uvicorn 0.27+</w:t>
            </w:r>
          </w:p>
        </w:tc>
        <w:tc>
          <w:tcPr>
            <w:tcW w:type="dxa" w:w="4536"/>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Pydantic 2.0+</w:t>
            </w:r>
          </w:p>
        </w:tc>
        <w:tc>
          <w:tcPr>
            <w:tcW w:type="dxa" w:w="4536"/>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Matplotlib 3.7+</w:t>
            </w:r>
          </w:p>
        </w:tc>
        <w:tc>
          <w:tcPr>
            <w:tcW w:type="dxa" w:w="4536"/>
          </w:tcPr>
          <w:p>
            <w:pPr>
              <w:spacing w:line="240" w:lineRule="auto" w:after="40"/>
              <w:jc w:val="left"/>
            </w:pPr>
            <w:r>
              <w:rPr>
                <w:rFonts w:ascii="Times New Roman" w:hAnsi="Times New Roman"/>
                <w:sz w:val="21"/>
              </w:rPr>
            </w:r>
            <w:r>
              <w:rPr>
                <w:rFonts w:ascii="Times New Roman" w:hAnsi="Times New Roman"/>
                <w:sz w:val="21"/>
              </w:rPr>
              <w:t>Generates the result charts and figures used in Chapter 6</w:t>
            </w:r>
          </w:p>
        </w:tc>
      </w:tr>
    </w:tbl>
    <w:p>
      <w:pPr>
        <w:spacing w:line="360" w:lineRule="auto" w:after="120" w:before="0"/>
        <w:jc w:val="both"/>
      </w:pPr>
      <w:r>
        <w:t>The version numbers in Table 5.2 matched the minimum versions recorded in the requirements file, so the environment could be recreated exactly. The python-docx library (1.1+) was used only to generate this report document and was not part of the detection system.</w:t>
      </w:r>
    </w:p>
    <w:p>
      <w:pPr>
        <w:spacing w:line="360" w:lineRule="auto" w:after="120" w:before="0"/>
        <w:jc w:val="both"/>
      </w:pPr>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2"/>
        <w:spacing w:before="200" w:after="120"/>
      </w:pPr>
      <w:r>
        <w:t>5.3 Setting and Configuration</w:t>
      </w:r>
    </w:p>
    <w:p>
      <w:pPr>
        <w:spacing w:line="360" w:lineRule="auto" w:after="120" w:before="0"/>
        <w:jc w:val="both"/>
      </w:pPr>
      <w:r>
        <w:t>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line="360" w:lineRule="auto" w:after="120" w:before="0"/>
        <w:jc w:val="both"/>
      </w:pPr>
      <w:r>
        <w:rPr>
          <w:b/>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Pr>
        <w:pStyle w:val="Heading2"/>
        <w:spacing w:before="200" w:after="120"/>
      </w:pPr>
      <w:r>
        <w:t>5.4 System Operation (with Screenshots)</w:t>
      </w:r>
    </w:p>
    <w:p>
      <w:pPr>
        <w:spacing w:line="360" w:lineRule="auto" w:after="120" w:before="0"/>
        <w:jc w:val="both"/>
      </w:pPr>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pPr>
        <w:spacing w:line="360" w:lineRule="auto" w:after="120" w:before="0"/>
        <w:jc w:val="both"/>
      </w:pPr>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5.2: Browser check-and-review console showing a phishing verdict and fired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5.3: Example service prediction response (label, probability and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5.4: Mailbox watch run quarantining a flagged message</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(16 of 22)</w:t>
            </w:r>
          </w:p>
          <w:p>
            <w:pPr>
              <w:spacing w:after="40"/>
            </w:pPr>
            <w:r>
              <w:rPr>
                <w:rFonts w:ascii="Times New Roman" w:hAnsi="Times New Roman"/>
                <w:color w:val="555555"/>
                <w:sz w:val="20"/>
              </w:rPr>
              <w:t>CHAPTER 6 -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6: SYSTEM EVALUATION AND DISCUSSION</w:t>
      </w:r>
    </w:p>
    <w:p>
      <w:pPr>
        <w:spacing w:line="360" w:lineRule="auto" w:after="120" w:before="0"/>
        <w:jc w:val="both"/>
      </w:pPr>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(17 of 22)</w:t>
            </w:r>
          </w:p>
          <w:p>
            <w:pPr>
              <w:spacing w:after="40"/>
            </w:pPr>
            <w:r>
              <w:rPr>
                <w:rFonts w:ascii="Times New Roman" w:hAnsi="Times New Roman"/>
                <w:color w:val="555555"/>
                <w:sz w:val="20"/>
              </w:rPr>
              <w:t>SECTION 6.2.2 - classifier comparison rewritten as prose (no commands)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6.2.2 Classifier and Feature-Group Comparison (Objective 3)</w:t>
      </w:r>
    </w:p>
    <w:p>
      <w:pPr>
        <w:spacing w:line="360" w:lineRule="auto" w:after="120" w:before="0"/>
        <w:jc w:val="both"/>
      </w:pPr>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line="360" w:lineRule="auto" w:after="120" w:before="0"/>
        <w:jc w:val="both"/>
      </w:pPr>
      <w:r>
        <w:rPr>
          <w:b/>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Pr>
        <w:spacing w:line="360" w:lineRule="auto" w:after="120" w:before="0"/>
        <w:jc w:val="both"/>
      </w:pPr>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pPr>
        <w:spacing w:line="360" w:lineRule="auto" w:after="120" w:before="0"/>
        <w:jc w:val="both"/>
      </w:pPr>
      <w:r>
        <w:t>The results supported the design choices. All learned classifiers comfortably exceeded the Naïve Bayes baseline, which, despite the highest standalone precision, sacrificed recall and recorded the lowest accuracy (0.968). Content-only logistic regression and the linear support vector machine were already strong (0.988 and 0.992 accuracy), confirming that the word/character TF-IDF representation was effective on the public corpus. Fusing the twelve structural metadata signals improved both fusion classifiers relative to their content-only forms, with the fusion support vector machine reaching the highest raw accuracy (0.993) and the deployed fusion logistic regression reaching 0.992 accuracy, 0.994 recall and ROC-AUC of 1.000 — evidence that the fusion bought additional phishing recall while all learned configurations saturated the high-nineties on the stylistically distinct public corpus.</w:t>
      </w:r>
    </w:p>
    <w:p>
      <w:pPr>
        <w:spacing w:line="360" w:lineRule="auto" w:after="120" w:before="0"/>
        <w:jc w:val="both"/>
      </w:pPr>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(18 of 22)</w:t>
            </w:r>
          </w:p>
          <w:p>
            <w:pPr>
              <w:spacing w:after="40"/>
            </w:pPr>
            <w:r>
              <w:rPr>
                <w:rFonts w:ascii="Times New Roman" w:hAnsi="Times New Roman"/>
                <w:color w:val="555555"/>
                <w:sz w:val="20"/>
              </w:rPr>
              <w:t>SECTION 6.2.4 - adaptive demonstration sentence fixed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6.2.4 Adaptive Improvement (Objective 4)</w:t>
      </w:r>
    </w:p>
    <w:p>
      <w:pPr>
        <w:spacing w:line="360" w:lineRule="auto" w:after="120" w:before="0"/>
        <w:jc w:val="both"/>
      </w:pPr>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line="360" w:lineRule="auto" w:after="120" w:before="0"/>
        <w:jc w:val="both"/>
      </w:pPr>
      <w:r>
        <w:rPr>
          <w:b/>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Pr>
        <w:spacing w:line="360" w:lineRule="auto" w:after="120" w:before="0"/>
        <w:jc w:val="both"/>
      </w:pPr>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6.4: ROC curves before and after one adaptive retraining cycle</w:t>
            </w:r>
          </w:p>
        </w:tc>
      </w:tr>
    </w:tbl>
    <w:p>
      <w:pPr>
        <w:pStyle w:val="Heading3"/>
        <w:spacing w:before="200" w:after="120"/>
      </w:pPr>
      <w:r>
        <w:t>6.2.5 Comparison with Existing Systems and Commercial Filters</w:t>
      </w:r>
    </w:p>
    <w:p>
      <w:pPr>
        <w:spacing w:line="360" w:lineRule="auto" w:after="120" w:before="0"/>
        <w:jc w:val="both"/>
      </w:pPr>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pPr>
        <w:spacing w:line="360" w:lineRule="auto" w:after="120" w:before="0"/>
        <w:jc w:val="both"/>
      </w:pPr>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line="360" w:lineRule="auto" w:after="120" w:before="0"/>
        <w:jc w:val="both"/>
      </w:pPr>
      <w:r>
        <w:rPr>
          <w:b/>
        </w:rPr>
        <w:t>Table 6.5 — Commercial-filter comparison: vendor-reported block rates and independently 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Pr>
        <w:spacing w:line="360" w:lineRule="auto" w:after="120" w:before="0"/>
        <w:jc w:val="both"/>
      </w:pPr>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line="360" w:lineRule="auto" w:after="120" w:before="0"/>
        <w:jc w:val="both"/>
      </w:pPr>
      <w:r>
        <w:rPr>
          <w:b/>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Pr>
        <w:spacing w:line="360" w:lineRule="auto" w:after="120" w:before="0"/>
        <w:jc w:val="both"/>
      </w:pPr>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(19 of 22)</w:t>
            </w:r>
          </w:p>
          <w:p>
            <w:pPr>
              <w:spacing w:after="40"/>
            </w:pPr>
            <w:r>
              <w:rPr>
                <w:rFonts w:ascii="Times New Roman" w:hAnsi="Times New Roman"/>
                <w:color w:val="555555"/>
                <w:sz w:val="20"/>
              </w:rPr>
              <w:t>SECTION 6.4 - objectives table cells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6.4 Objectives Evaluation</w:t>
      </w:r>
    </w:p>
    <w:p>
      <w:pPr>
        <w:spacing w:line="360" w:lineRule="auto" w:after="120" w:before="0"/>
        <w:jc w:val="both"/>
      </w:pPr>
      <w:r>
        <w:t>Table 6.7 maps each objective to its outcome and evidence.</w:t>
      </w:r>
    </w:p>
    <w:p>
      <w:pPr>
        <w:spacing w:line="360" w:lineRule="auto" w:after="120" w:before="0"/>
        <w:jc w:val="both"/>
      </w:pPr>
      <w:r>
        <w:rPr>
          <w:b/>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(20 of 22)</w:t>
            </w:r>
          </w:p>
          <w:p>
            <w:pPr>
              <w:spacing w:after="40"/>
            </w:pPr>
            <w:r>
              <w:rPr>
                <w:rFonts w:ascii="Times New Roman" w:hAnsi="Times New Roman"/>
                <w:color w:val="555555"/>
                <w:sz w:val="20"/>
              </w:rPr>
              <w:t>CHAPTER 7 -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7: CONCLUSION AND RECOMMENDATION</w:t>
      </w:r>
    </w:p>
    <w:p>
      <w:pPr>
        <w:spacing w:line="360" w:lineRule="auto" w:after="120" w:before="0"/>
        <w:jc w:val="both"/>
      </w:pPr>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(21 of 22)</w:t>
            </w:r>
          </w:p>
          <w:p>
            <w:pPr>
              <w:spacing w:after="40"/>
            </w:pPr>
            <w:r>
              <w:rPr>
                <w:rFonts w:ascii="Times New Roman" w:hAnsi="Times New Roman"/>
                <w:color w:val="555555"/>
                <w:sz w:val="20"/>
              </w:rPr>
              <w:t>APPENDIX B - placeholder wording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B — Full Classifier Output and Confusion Matrices</w:t>
      </w:r>
    </w:p>
    <w:p>
      <w:pPr>
        <w:spacing w:line="360" w:lineRule="auto" w:after="120" w:before="0"/>
        <w:jc w:val="both"/>
      </w:pPr>
      <w:r>
        <w:t>[FILL IN: paste the complete classifier-comparison output table and the per-configuration confusion matrices produced during the evaluation described in Section 6.2.]</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(22 of 22)</w:t>
            </w:r>
          </w:p>
          <w:p>
            <w:pPr>
              <w:spacing w:after="40"/>
            </w:pPr>
            <w:r>
              <w:rPr>
                <w:rFonts w:ascii="Times New Roman" w:hAnsi="Times New Roman"/>
                <w:color w:val="555555"/>
                <w:sz w:val="20"/>
              </w:rPr>
              <w:t>APPENDIX D - NOW contains the full command reference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D — Command Reference and System Screenshots</w:t>
      </w:r>
    </w:p>
    <w:p>
      <w:pPr>
        <w:spacing w:line="360" w:lineRule="auto" w:after="120" w:before="0"/>
        <w:jc w:val="both"/>
      </w:pPr>
      <w:r>
        <w:t>For reproducibility, the system was run from the command line inside the Python virtual environment described in Section 5.2. The environment was created and the required libraries installed with the following commands:</w:t>
      </w:r>
    </w:p>
    <w:p>
      <w:pPr>
        <w:spacing w:after="0" w:line="240" w:lineRule="auto"/>
      </w:pPr>
      <w:r>
        <w:rPr>
          <w:rFonts w:ascii="Consolas" w:hAnsi="Consolas"/>
          <w:color w:val="222222"/>
          <w:sz w:val="18"/>
        </w:rPr>
        <w:t>python -m venv .venv</w:t>
      </w:r>
    </w:p>
    <w:p>
      <w:pPr>
        <w:spacing w:after="0" w:line="240" w:lineRule="auto"/>
      </w:pPr>
      <w:r>
        <w:rPr>
          <w:rFonts w:ascii="Consolas" w:hAnsi="Consolas"/>
          <w:color w:val="222222"/>
          <w:sz w:val="18"/>
        </w:rPr>
        <w:t>.venv\Scripts\activate          (Windows)   /   source .venv/bin/activate   (Linux/macOS)</w:t>
      </w:r>
    </w:p>
    <w:p>
      <w:pPr>
        <w:spacing w:after="120" w:line="240" w:lineRule="auto"/>
      </w:pPr>
      <w:r>
        <w:rPr>
          <w:rFonts w:ascii="Consolas" w:hAnsi="Consolas"/>
          <w:color w:val="222222"/>
          <w:sz w:val="18"/>
        </w:rPr>
        <w:t>pip install -r requirements.txt</w:t>
      </w:r>
    </w:p>
    <w:p>
      <w:pPr>
        <w:spacing w:line="360" w:lineRule="auto" w:after="120" w:before="0"/>
        <w:jc w:val="both"/>
      </w:pPr>
      <w:r>
        <w:t>The four principal operations — training and evaluation, external (AI-mail) evaluation, running the detection service, and continuous mailbox monitoring — were invoked as follows:</w:t>
      </w:r>
    </w:p>
    <w:p>
      <w:pPr>
        <w:spacing w:after="0" w:line="240" w:lineRule="auto"/>
      </w:pPr>
      <w:r>
        <w:rPr>
          <w:rFonts w:ascii="Consolas" w:hAnsi="Consolas"/>
          <w:color w:val="222222"/>
          <w:sz w:val="18"/>
        </w:rPr>
        <w:t># 1. Train on the reviewed corpus, evaluate on the held-out split, and save the model</w:t>
      </w:r>
    </w:p>
    <w:p>
      <w:pPr>
        <w:spacing w:after="0" w:line="240" w:lineRule="auto"/>
      </w:pPr>
      <w:r>
        <w:rPr>
          <w:rFonts w:ascii="Consolas" w:hAnsi="Consolas"/>
          <w:color w:val="222222"/>
          <w:sz w:val="18"/>
        </w:rPr>
        <w:t>python -m spam_detection.evaluate data/reviewed_mail.csv --save models/email_spam_detector.joblib</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2. Score an external / AI-generated set (a body-only CSV is supported)</w:t>
      </w:r>
    </w:p>
    <w:p>
      <w:pPr>
        <w:spacing w:after="0" w:line="240" w:lineRule="auto"/>
      </w:pPr>
      <w:r>
        <w:rPr>
          <w:rFonts w:ascii="Consolas" w:hAnsi="Consolas"/>
          <w:color w:val="222222"/>
          <w:sz w:val="18"/>
        </w:rPr>
        <w:t>python -m spam_detection.evaluate_external models/email_spam_detector.joblib data/llm_test.csv</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3. Start the detection service, then open its address in a web browser</w:t>
      </w:r>
    </w:p>
    <w:p>
      <w:pPr>
        <w:spacing w:after="0" w:line="240" w:lineRule="auto"/>
      </w:pPr>
      <w:r>
        <w:rPr>
          <w:rFonts w:ascii="Consolas" w:hAnsi="Consolas"/>
          <w:color w:val="222222"/>
          <w:sz w:val="18"/>
        </w:rPr>
        <w:t>python -m uvicorn spam_detection.api:app --host 0.0.0.0 --port 8000</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4. Monitor a folder and quarantine flagged mail as it arrives</w:t>
      </w:r>
    </w:p>
    <w:p>
      <w:pPr>
        <w:spacing w:after="120" w:line="240" w:lineRule="auto"/>
      </w:pPr>
      <w:r>
        <w:rPr>
          <w:rFonts w:ascii="Consolas" w:hAnsi="Consolas"/>
          <w:color w:val="222222"/>
          <w:sz w:val="18"/>
        </w:rPr>
        <w:t>python -m spam_detection.scan_mailbox mail_inbox --action quarantine --watch</w:t>
      </w:r>
    </w:p>
    <w:p>
      <w:pPr>
        <w:spacing w:line="360" w:lineRule="auto" w:after="120" w:before="0"/>
        <w:jc w:val="both"/>
      </w:pPr>
      <w:r>
        <w:t>[FILL IN: add any further screenshots not placed in Chapter 5, e.g. the training output and the threshold-sweep output.]</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