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that improved over time through reviewed-feedback retraining. Raw emails were parsed to extract word and character term-frequency–inverse-document-frequency (TF-IDF) content features together with thirteen structural metadata signals, including link and attachment counts, sender-to-link domain mismatch, reply-to presence, sender-policy-framework and DomainKeys-Identified-Mail indicators, and casing and urgency-term statistics; the streams were fused into a single feature space and classified by a class-balanced logistic-regression model, with multinomial Naïve Bayes and a linear support vector machine evaluated for comparison. A detection service, a browser review console, a mailbox watcher with quarantine and a feedback-driven retraining loop were implemented, and the detector ran entirely on a commodity central processing unit with no graphics-processor requirement. The fused model was trained on 81,152 de-duplicated public emails and achieved 99.2% accuracy with precision 0.991, recall 0.992 and a receiver-operating-characteristic area under the curve of 1.000 on a held-out test split, at a median latency of approximately 16 milliseconds per email. On 4,986 phishing emails generated by three large language models on which the model was not trained, the detector flagged 92%, demonstrating strong generalisation to AI-assisted phishing, and after one adaptive retraining cycle the detection ranking on held-out modern-threat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5.5 Live IMAP run scoring four messages retrieved from a commercial mailbox.</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thirteen structural metadata signals.</w:t>
      </w:r>
    </w:p>
    <w:p>
      <w:r>
        <w:t>- Table 5.1 Specifications of the development machine.</w:t>
      </w:r>
    </w:p>
    <w:p>
      <w:r>
        <w:t>- Table 5.2 Software and libraries used in the project.</w:t>
      </w:r>
    </w:p>
    <w:p>
      <w:r>
        <w:t>- Table 5.3 Model and feature hyper-parameters.</w:t>
      </w:r>
    </w:p>
    <w:p>
      <w:r>
        <w:t>- Table 5.4 Mailbox connection and filtering configuration.</w:t>
      </w:r>
    </w:p>
    <w:p>
      <w:r>
        <w:t>- Table 5.5 Command-line operations used to run the system.</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644652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644652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599604"/>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599604"/>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thirteen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probability estimate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Taxonomy of spam-detection approaches</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Rule- and keyword-based filtering</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Content-based statistical (machine-learning) classification</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Metadata and reputation-based filtering</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Hybrid content-metadata fusion classification</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thirteen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 The end-to-end data flow and the retraining feedback loop are shown in Figure 3.1.</w:t>
      </w:r>
    </w:p>
    <w:p>
      <w:pPr>
        <w:jc w:val="center"/>
      </w:pPr>
      <w:r>
        <w:drawing>
          <wp:inline xmlns:a="http://schemas.openxmlformats.org/drawingml/2006/main" xmlns:pic="http://schemas.openxmlformats.org/drawingml/2006/picture">
            <wp:extent cx="5486400" cy="4012681"/>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012681"/>
                    </a:xfrm>
                    <a:prstGeom prst="rect"/>
                  </pic:spPr>
                </pic:pic>
              </a:graphicData>
            </a:graphic>
          </wp:inline>
        </w:drawing>
      </w:r>
    </w:p>
    <w:p>
      <w:pPr>
        <w:spacing w:before="80" w:after="160"/>
        <w:jc w:val="center"/>
      </w:pPr>
      <w:r>
        <w:rPr>
          <w:b/>
          <w:sz w:val="22"/>
        </w:rPr>
        <w:t>Figure 3.1 — System architecture of the adaptive fusion spam-detection framework</w:t>
      </w:r>
    </w:p>
    <w:p>
      <w:pPr>
        <w:pStyle w:val="Heading2"/>
        <w:jc w:val="left"/>
      </w:pPr>
      <w:r>
        <w:rPr>
          <w:rFonts w:ascii="Times New Roman" w:hAnsi="Times New Roman"/>
          <w:color w:val="000000"/>
        </w:rPr>
        <w:t>3.1.2 Use Case Diagram and Description</w:t>
      </w:r>
    </w:p>
    <w:p>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jc w:val="center"/>
      </w:pPr>
      <w:r>
        <w:drawing>
          <wp:inline xmlns:a="http://schemas.openxmlformats.org/drawingml/2006/main" xmlns:pic="http://schemas.openxmlformats.org/drawingml/2006/picture">
            <wp:extent cx="5486400" cy="4813540"/>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4813540"/>
                    </a:xfrm>
                    <a:prstGeom prst="rect"/>
                  </pic:spPr>
                </pic:pic>
              </a:graphicData>
            </a:graphic>
          </wp:inline>
        </w:drawing>
      </w:r>
    </w:p>
    <w:p>
      <w:pPr>
        <w:spacing w:before="80" w:after="160"/>
        <w:jc w:val="center"/>
      </w:pPr>
      <w:r>
        <w:rPr>
          <w:b/>
          <w:sz w:val="22"/>
        </w:rPr>
        <w:t>Figure 3.2 —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 Each message was parsed and scored, a threshold decision routed it to the inbox or quarantine, and a reviewer correction on the rare misclassified message was collected for the next retraining cycle. The full sequence, including the feedback path, is illustrated in Figure 3.3.</w:t>
      </w:r>
    </w:p>
    <w:p>
      <w:pPr>
        <w:jc w:val="center"/>
      </w:pPr>
      <w:r>
        <w:drawing>
          <wp:inline xmlns:a="http://schemas.openxmlformats.org/drawingml/2006/main" xmlns:pic="http://schemas.openxmlformats.org/drawingml/2006/picture">
            <wp:extent cx="5486400" cy="5451815"/>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5451815"/>
                    </a:xfrm>
                    <a:prstGeom prst="rect"/>
                  </pic:spPr>
                </pic:pic>
              </a:graphicData>
            </a:graphic>
          </wp:inline>
        </w:drawing>
      </w:r>
    </w:p>
    <w:p>
      <w:pPr>
        <w:spacing w:before="80" w:after="160"/>
        <w:jc w:val="center"/>
      </w:pPr>
      <w:r>
        <w:rPr>
          <w:b/>
          <w:sz w:val="22"/>
        </w:rPr>
        <w:t>Figure 3.3 —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which was then evaluated on the held-out data before further use.</w:t>
      </w:r>
    </w:p>
    <w:p>
      <w:pPr>
        <w:pStyle w:val="Heading1"/>
        <w:jc w:val="left"/>
      </w:pPr>
      <w:r>
        <w:rPr>
          <w:rFonts w:ascii="Times New Roman" w:hAnsi="Times New Roman"/>
          <w:color w:val="000000"/>
        </w:rPr>
        <w:t>3.2 Datasets</w:t>
      </w:r>
    </w:p>
    <w:p>
      <w:r>
        <w:t xml:space="preserve">The training corpus was the public Kaggle "Phishing Email Dataset" [21], released under a permissive licence and accompanied by the study that curated it [22], which merged six established corpora: Enron and Ling-Spam and SpamAssassin (predominantly legitimate mail) and CEAS-2008, the Nazario phishing set and the Nigerian-Fraud set (phishing and fraud). The published collection contains approximately 82,500 messages (42,891 spam and 39,595 legitimate) [21].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i/>
          <w:sz w:val="24"/>
        </w:rPr>
        <w:t>w(t, d) = ( 1 + ln tf(t, d) ) · idf(t)</w:t>
      </w:r>
      <w:r>
        <w:rPr>
          <w:rFonts w:ascii="Times New Roman" w:hAnsi="Times New Roman"/>
          <w:i w:val="0"/>
          <w:sz w:val="24"/>
        </w:rPr>
        <w:t xml:space="preserve">        (3.1)</w:t>
      </w:r>
    </w:p>
    <w:p>
      <w:pPr>
        <w:spacing w:before="80" w:after="80"/>
        <w:jc w:val="center"/>
      </w:pPr>
      <w:r>
        <w:rPr>
          <w:rFonts w:ascii="Cambria Math" w:hAnsi="Cambria Math"/>
          <w:i/>
          <w:sz w:val="24"/>
        </w:rPr>
        <w:t>idf(t) = ln ( (1 + N) / (1 + df(t)) ) + 1</w:t>
      </w:r>
      <w:r>
        <w:rPr>
          <w:rFonts w:ascii="Times New Roman" w:hAnsi="Times New Roman"/>
          <w:i w:val="0"/>
          <w:sz w:val="24"/>
        </w:rPr>
        <w:t xml:space="preserve">        (3.2)</w:t>
      </w:r>
    </w:p>
    <w:p>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i/>
          <w:sz w:val="24"/>
        </w:rPr>
        <w:t>z = ( x − μ ) / σ</w:t>
      </w:r>
      <w:r>
        <w:rPr>
          <w:rFonts w:ascii="Times New Roman" w:hAnsi="Times New Roman"/>
          <w:i w:val="0"/>
          <w:sz w:val="24"/>
        </w:rPr>
        <w:t xml:space="preserve">        (3.3)</w:t>
      </w:r>
    </w:p>
    <w:p>
      <w:r>
        <w:t>where μ is the mean and σ the standard deviation of that signal over the training set.</w:t>
      </w:r>
    </w:p>
    <w:p>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i/>
          <w:sz w:val="24"/>
        </w:rPr>
        <w:t>z = w₀ + w₁x₁ + w₂x₂ + … + wₘxₘ</w:t>
      </w:r>
      <w:r>
        <w:rPr>
          <w:rFonts w:ascii="Times New Roman" w:hAnsi="Times New Roman"/>
          <w:i w:val="0"/>
          <w:sz w:val="24"/>
        </w:rPr>
        <w:t xml:space="preserve">        (3.4)</w:t>
      </w:r>
    </w:p>
    <w:p>
      <w:pPr>
        <w:spacing w:before="80" w:after="80"/>
        <w:jc w:val="center"/>
      </w:pPr>
      <w:r>
        <w:rPr>
          <w:rFonts w:ascii="Cambria Math" w:hAnsi="Cambria Math"/>
          <w:i/>
          <w:sz w:val="24"/>
        </w:rPr>
        <w:t>P(spam | x) = 1 / ( 1 + e^(−z) )</w:t>
      </w:r>
      <w:r>
        <w:rPr>
          <w:rFonts w:ascii="Times New Roman" w:hAnsi="Times New Roman"/>
          <w:i w:val="0"/>
          <w:sz w:val="24"/>
        </w:rPr>
        <w:t xml:space="preserve">        (3.5)</w:t>
      </w:r>
    </w:p>
    <w:p>
      <w:r>
        <w:t>The probability was compared with a configurable decision threshold θ (0.55 by default) to produce the label, as in Equation (3.6):</w:t>
      </w:r>
    </w:p>
    <w:p>
      <w:pPr>
        <w:spacing w:before="80" w:after="80"/>
        <w:jc w:val="center"/>
      </w:pPr>
      <w:r>
        <w:rPr>
          <w:rFonts w:ascii="Cambria Math" w:hAnsi="Cambria Math"/>
          <w:i/>
          <w:sz w:val="24"/>
        </w:rPr>
        <w:t>label = { spam  if P(spam | x) ≥ θ;   legitimate  otherwise }</w:t>
      </w:r>
      <w:r>
        <w:rPr>
          <w:rFonts w:ascii="Times New Roman" w:hAnsi="Times New Roman"/>
          <w:i w:val="0"/>
          <w:sz w:val="24"/>
        </w:rPr>
        <w:t xml:space="preserve">        (3.6)</w:t>
      </w:r>
    </w:p>
    <w:p>
      <w:r>
        <w:t>where w₀ is the bias term and w₁ … wₘ are the weights learned for the fused features.</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i/>
          <w:sz w:val="24"/>
        </w:rPr>
        <w:t>Accuracy = ( TP + TN ) / ( TP + TN + FP + FN )</w:t>
      </w:r>
      <w:r>
        <w:rPr>
          <w:rFonts w:ascii="Times New Roman" w:hAnsi="Times New Roman"/>
          <w:i w:val="0"/>
          <w:sz w:val="24"/>
        </w:rPr>
        <w:t xml:space="preserve">        (3.7)</w:t>
      </w:r>
    </w:p>
    <w:p>
      <w:pPr>
        <w:spacing w:before="80" w:after="80"/>
        <w:jc w:val="center"/>
      </w:pPr>
      <w:r>
        <w:rPr>
          <w:rFonts w:ascii="Cambria Math" w:hAnsi="Cambria Math"/>
          <w:i/>
          <w:sz w:val="24"/>
        </w:rPr>
        <w:t>Precision = TP / ( TP + FP )</w:t>
      </w:r>
      <w:r>
        <w:rPr>
          <w:rFonts w:ascii="Times New Roman" w:hAnsi="Times New Roman"/>
          <w:i w:val="0"/>
          <w:sz w:val="24"/>
        </w:rPr>
        <w:t xml:space="preserve">        (3.8)</w:t>
      </w:r>
    </w:p>
    <w:p>
      <w:pPr>
        <w:spacing w:before="80" w:after="80"/>
        <w:jc w:val="center"/>
      </w:pPr>
      <w:r>
        <w:rPr>
          <w:rFonts w:ascii="Cambria Math" w:hAnsi="Cambria Math"/>
          <w:i/>
          <w:sz w:val="24"/>
        </w:rPr>
        <w:t>Recall = TP / ( TP + FN )</w:t>
      </w:r>
      <w:r>
        <w:rPr>
          <w:rFonts w:ascii="Times New Roman" w:hAnsi="Times New Roman"/>
          <w:i w:val="0"/>
          <w:sz w:val="24"/>
        </w:rPr>
        <w:t xml:space="preserve">        (3.9)</w:t>
      </w:r>
    </w:p>
    <w:p>
      <w:pPr>
        <w:spacing w:before="80" w:after="80"/>
        <w:jc w:val="center"/>
      </w:pPr>
      <w:r>
        <w:rPr>
          <w:rFonts w:ascii="Cambria Math" w:hAnsi="Cambria Math"/>
          <w:i/>
          <w:sz w:val="24"/>
        </w:rPr>
        <w:t>F1 = 2 · ( Precision · Recall ) / ( Precision + Recall )</w:t>
      </w:r>
      <w:r>
        <w:rPr>
          <w:rFonts w:ascii="Times New Roman" w:hAnsi="Times New Roman"/>
          <w:i w:val="0"/>
          <w:sz w:val="24"/>
        </w:rPr>
        <w:t xml:space="preserve">        (3.10)</w:t>
      </w:r>
    </w:p>
    <w:p>
      <w:pPr>
        <w:spacing w:before="80" w:after="80"/>
        <w:jc w:val="center"/>
      </w:pPr>
      <w:r>
        <w:rPr>
          <w:rFonts w:ascii="Cambria Math" w:hAnsi="Cambria Math"/>
          <w:i/>
          <w:sz w:val="24"/>
        </w:rPr>
        <w:t>False-positive rate = FP / ( FP + TN )</w:t>
      </w:r>
      <w:r>
        <w:rPr>
          <w:rFonts w:ascii="Times New Roman" w:hAnsi="Times New Roman"/>
          <w:i w:val="0"/>
          <w:sz w:val="24"/>
        </w:rPr>
        <w:t xml:space="preserve">        (3.11)</w:t>
      </w:r>
    </w:p>
    <w:p>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thirteen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thirteen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450657"/>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450657"/>
                    </a:xfrm>
                    <a:prstGeom prst="rect"/>
                  </pic:spPr>
                </pic:pic>
              </a:graphicData>
            </a:graphic>
          </wp:inline>
        </w:drawing>
      </w:r>
    </w:p>
    <w:p>
      <w:pPr>
        <w:spacing w:before="80" w:after="160"/>
        <w:jc w:val="center"/>
      </w:pPr>
      <w:r>
        <w:rPr>
          <w:b/>
          <w:sz w:val="22"/>
        </w:rPr>
        <w:t>Figure 4.1 — System block diagram of the five main blocks</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thirteen structural metadata signals are defined in Table 4.2.</w:t>
      </w:r>
    </w:p>
    <w:p>
      <w:pPr>
        <w:spacing w:before="80" w:after="160"/>
        <w:jc w:val="center"/>
      </w:pPr>
      <w:r>
        <w:rPr>
          <w:b/>
          <w:sz w:val="22"/>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thirteen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p>
      <w:pPr>
        <w:jc w:val="center"/>
      </w:pPr>
      <w:r>
        <w:rPr>
          <w:i/>
        </w:rPr>
        <w:t>FIGURE 5.1: Software and virtual-environment setup.</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2"/>
        <w:jc w:val="left"/>
      </w:pPr>
      <w:r>
        <w:rPr>
          <w:rFonts w:ascii="Times New Roman" w:hAnsi="Times New Roman"/>
          <w:color w:val="000000"/>
        </w:rPr>
        <w:t>5.3.1 Python Environment Configuration</w:t>
      </w:r>
    </w:p>
    <w:p>
      <w:r>
        <w:t xml:space="preserve">1. </w:t>
      </w:r>
      <w:r>
        <w:rPr>
          <w:b/>
        </w:rPr>
        <w:t>Install Python 3.13</w:t>
      </w:r>
      <w:r>
        <w:t xml:space="preserve"> for Windows from python.org, selecting "Add python.exe to PATH".</w:t>
      </w:r>
    </w:p>
    <w:p>
      <w:r>
        <w:t xml:space="preserve">2. </w:t>
      </w:r>
      <w:r>
        <w:rPr>
          <w:b/>
        </w:rPr>
        <w:t>Create the project virtual environment</w:t>
      </w:r>
      <w:r>
        <w:t xml:space="preserve"> in the project folder so that the libraries are isolated from the system installation: `python -m venv .venv`</w:t>
      </w:r>
    </w:p>
    <w:p>
      <w:r>
        <w:t xml:space="preserve">3. </w:t>
      </w:r>
      <w:r>
        <w:rPr>
          <w:b/>
        </w:rPr>
        <w:t>Activate the environment</w:t>
      </w:r>
      <w:r>
        <w:t>: `.venv\Scripts\activate` (the prompt is then prefixed with `(.venv)`).</w:t>
      </w:r>
    </w:p>
    <w:p>
      <w:r>
        <w:t xml:space="preserve">4. </w:t>
      </w:r>
      <w:r>
        <w:rPr>
          <w:b/>
        </w:rPr>
        <w:t>Install the required libraries</w:t>
      </w:r>
      <w:r>
        <w:t>: `pip install -r requirements.txt`, which installs scikit-learn, FastAPI, Uvicorn, pandas, Matplotlib and Joblib together with their dependencies.</w:t>
      </w:r>
    </w:p>
    <w:p>
      <w:r>
        <w:t xml:space="preserve">5. </w:t>
      </w:r>
      <w:r>
        <w:rPr>
          <w:b/>
        </w:rPr>
        <w:t>Verify the installation</w:t>
      </w:r>
      <w:r>
        <w:t xml:space="preserve"> with `pip list`, as shown in Figure 5.1.</w:t>
      </w:r>
    </w:p>
    <w:p>
      <w:r>
        <w:t>No configuration file, environment variable or administrator privilege is required for this stage.</w:t>
      </w:r>
    </w:p>
    <w:p>
      <w:pPr>
        <w:pStyle w:val="Heading2"/>
        <w:jc w:val="left"/>
      </w:pPr>
      <w:r>
        <w:rPr>
          <w:rFonts w:ascii="Times New Roman" w:hAnsi="Times New Roman"/>
          <w:color w:val="000000"/>
        </w:rPr>
        <w:t>5.3.2 Detector Configuration</w:t>
      </w:r>
    </w:p>
    <w:p>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2"/>
        <w:jc w:val="left"/>
      </w:pPr>
      <w:r>
        <w:rPr>
          <w:rFonts w:ascii="Times New Roman" w:hAnsi="Times New Roman"/>
          <w:color w:val="000000"/>
        </w:rPr>
        <w:t>5.3.3 Mail-Account Configuration for Live Filtering</w:t>
      </w:r>
    </w:p>
    <w:p>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r>
        <w:t xml:space="preserve">1. </w:t>
      </w:r>
      <w:r>
        <w:rPr>
          <w:b/>
        </w:rPr>
        <w:t>Create a dedicated test mail account</w:t>
      </w:r>
      <w:r>
        <w:t xml:space="preserve"> used only for this project, so that no personal or third-party mail is read by the system.</w:t>
      </w:r>
    </w:p>
    <w:p>
      <w:r>
        <w:t xml:space="preserve">2. </w:t>
      </w:r>
      <w:r>
        <w:rPr>
          <w:b/>
        </w:rPr>
        <w:t>Enable two-step verification</w:t>
      </w:r>
      <w:r>
        <w:t xml:space="preserve"> on that account, which is a prerequisite for issuing an application password.</w:t>
      </w:r>
    </w:p>
    <w:p>
      <w:r>
        <w:t xml:space="preserve">3. </w:t>
      </w:r>
      <w:r>
        <w:rPr>
          <w:b/>
        </w:rPr>
        <w:t>Generate an application password</w:t>
      </w:r>
      <w:r>
        <w:t>: in the account security settings, create a sixteen- character application password for the connector. The ordinary login password is never used and is never stored by the system.</w:t>
      </w:r>
    </w:p>
    <w:p>
      <w:r>
        <w:t xml:space="preserve">4. </w:t>
      </w:r>
      <w:r>
        <w:rPr>
          <w:b/>
        </w:rPr>
        <w:t>Enable IMAP access</w:t>
      </w:r>
      <w:r>
        <w:t xml:space="preserve"> in the mail account settings so that external clients may read the mailbox.</w:t>
      </w:r>
    </w:p>
    <w:p>
      <w:r>
        <w:t xml:space="preserve">5. </w:t>
      </w:r>
      <w:r>
        <w:rPr>
          <w:b/>
        </w:rPr>
        <w:t>Supply the credentials as environment variables</w:t>
      </w:r>
      <w:r>
        <w:t xml:space="preserve"> rather than editing any source file, so that no password is written into the code or the report:</w:t>
      </w:r>
    </w:p>
    <w:p>
      <w:pPr>
        <w:spacing w:line="240" w:lineRule="auto" w:after="0"/>
      </w:pPr>
      <w:r>
        <w:rPr>
          <w:rFonts w:ascii="Consolas" w:hAnsi="Consolas"/>
          <w:sz w:val="19"/>
        </w:rPr>
        <w:t>$env:IMAP_USER = "the test address"</w:t>
      </w:r>
    </w:p>
    <w:p>
      <w:pPr>
        <w:spacing w:line="240" w:lineRule="auto" w:after="0"/>
      </w:pPr>
      <w:r>
        <w:rPr>
          <w:rFonts w:ascii="Consolas" w:hAnsi="Consolas"/>
          <w:sz w:val="19"/>
        </w:rPr>
        <w:t>$env:IMAP_PASS = "the sixteen-character application password"</w:t>
      </w:r>
    </w:p>
    <w:p>
      <w:r>
        <w:t xml:space="preserve">6. </w:t>
      </w:r>
      <w:r>
        <w:rPr>
          <w:b/>
        </w:rPr>
        <w:t>Run a read-only check first.</w:t>
      </w:r>
      <w:r>
        <w:t xml:space="preserve"> The connector defaults to `report` mode, in which messages are scored and logged but nothing is moved or deleted: `python -m spam_detection.imap_watch --action report`</w:t>
      </w:r>
    </w:p>
    <w:p>
      <w:r>
        <w:t xml:space="preserve">7. </w:t>
      </w:r>
      <w:r>
        <w:rPr>
          <w:b/>
        </w:rPr>
        <w:t>Enable automatic filtering</w:t>
      </w:r>
      <w:r>
        <w:t xml:space="preserve"> once the read-only check succeeds: `python -m spam_detection.imap_watch --action quarantine --watch`</w:t>
      </w:r>
    </w:p>
    <w:p>
      <w:pPr>
        <w:pStyle w:val="Heading2"/>
        <w:jc w:val="left"/>
      </w:pPr>
      <w:r>
        <w:rPr>
          <w:rFonts w:ascii="Times New Roman" w:hAnsi="Times New Roman"/>
          <w:color w:val="000000"/>
        </w:rPr>
        <w:t>5.3.4 Filtering and Review Configuration</w:t>
      </w:r>
    </w:p>
    <w:p>
      <w:r>
        <w:t>The connector's operational settings are summarised in Table 5.4. The server host and port are inferred automatically from the address domain for common providers, so in normal use only the account credentials must be supplied.</w:t>
      </w:r>
    </w:p>
    <w:p>
      <w:pPr>
        <w:spacing w:before="80" w:after="160"/>
        <w:jc w:val="center"/>
      </w:pPr>
      <w:r>
        <w:rPr>
          <w:b/>
          <w:sz w:val="22"/>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before="80" w:after="160"/>
        <w:jc w:val="center"/>
      </w:pPr>
      <w:r>
        <w:rPr>
          <w:b/>
          <w:sz w:val="22"/>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p>
      <w:pPr>
        <w:jc w:val="center"/>
      </w:pPr>
      <w:r>
        <w:rPr>
          <w:i/>
        </w:rPr>
        <w:t>FIGURE 5.2: Browser check-and-review console showing a phishing verdict and fired signals.</w:t>
      </w:r>
    </w:p>
    <w:p>
      <w:pPr>
        <w:jc w:val="center"/>
      </w:pPr>
      <w:r>
        <w:rPr>
          <w:i/>
        </w:rPr>
        <w:t>FIGURE 5.3: Example service prediction response (label, probability and signals).</w:t>
      </w:r>
    </w:p>
    <w:p>
      <w:pPr>
        <w:jc w:val="center"/>
      </w:pPr>
      <w:r>
        <w:rPr>
          <w:i/>
        </w:rPr>
        <w:t>FIGURE 5.4: Mailbox watch run quarantining a flagged message.</w:t>
      </w:r>
    </w:p>
    <w:p>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p>
      <w:pPr>
        <w:jc w:val="center"/>
      </w:pPr>
      <w:r>
        <w:rPr>
          <w:i/>
        </w:rPr>
        <w:t>FIGURE 5.5: Live IMAP run scoring four messages retrieved from a commercial mailbox, showing three phishing messages flagged and one legitimate message released.</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Mixed text encodings in the public corpora.</w:t>
      </w:r>
      <w:r>
        <w:t xml:space="preserve"> Source CSV files were not all encoded the same way, so opening them as UTF-8 caused decoding errors on some emails; the data-preparation step read each file with UTF-8 first and fell back to latin-1 (a byte-safe encoding), after which every corpus loaded without errors.</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 The full confusion matrix on the held-out test split is shown in Figure 6.1.</w:t>
      </w:r>
    </w:p>
    <w:p>
      <w:pPr>
        <w:jc w:val="center"/>
      </w:pPr>
      <w:r>
        <w:rPr>
          <w:i/>
        </w:rPr>
        <w:t>FIGURE 6.1: Confusion matrix of the fused model on the held-out test split.</w:t>
      </w:r>
    </w:p>
    <w:p>
      <w:r>
        <w:t>The overall trade-off of the fused model was summarised by its receiver-operating-characteristic curve, and the relationship between the decision threshold and recall was examined in a threshold sweep; both are plotted in Figure 6.2, with the ROC-AUC of 1.000 indicating nearly perfect ranking of spam above legitimate mail.</w:t>
      </w:r>
    </w:p>
    <w:p>
      <w:pPr>
        <w:jc w:val="center"/>
      </w:pPr>
      <w:r>
        <w:rPr>
          <w:i/>
        </w:rPr>
        <w:t>FIGURE 6.2: ROC curve and threshold sweep for the fused model.</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five configurations were compared metric by metric on the same held-out split.</w:t>
      </w:r>
    </w:p>
    <w:p>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 The decline of catch rate with the decision threshold is plotted in Figure 6.3.</w:t>
      </w:r>
    </w:p>
    <w:p>
      <w:pPr>
        <w:jc w:val="center"/>
      </w:pPr>
      <w:r>
        <w:rPr>
          <w:i/>
        </w:rPr>
        <w:t>FIGURE 6.3: Catch rate versus decision threshold on the LLM-phishing set.</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0.810 to 0.945 — a 16.7% relative improvement in ranking quality —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threshold 0.55</w:t>
            </w:r>
          </w:p>
        </w:tc>
        <w:tc>
          <w:tcPr>
            <w:tcW w:type="dxa" w:w="3024"/>
          </w:tcPr>
          <w:p>
            <w:pPr>
              <w:spacing w:line="240" w:lineRule="auto" w:after="40"/>
              <w:jc w:val="left"/>
            </w:pPr>
            <w:r>
              <w:rPr>
                <w:rFonts w:ascii="Times New Roman" w:hAnsi="Times New Roman"/>
                <w:sz w:val="21"/>
              </w:rPr>
            </w:r>
            <w:r>
              <w:rPr>
                <w:rFonts w:ascii="Times New Roman" w:hAnsi="Times New Roman"/>
                <w:sz w:val="21"/>
              </w:rPr>
              <w:t>95%</w:t>
            </w:r>
          </w:p>
        </w:tc>
        <w:tc>
          <w:tcPr>
            <w:tcW w:type="dxa" w:w="3024"/>
          </w:tcPr>
          <w:p>
            <w:pPr>
              <w:spacing w:line="240" w:lineRule="auto" w:after="40"/>
              <w:jc w:val="left"/>
            </w:pPr>
            <w:r>
              <w:rPr>
                <w:rFonts w:ascii="Times New Roman" w:hAnsi="Times New Roman"/>
                <w:sz w:val="21"/>
              </w:rPr>
            </w:r>
            <w:r>
              <w:rPr>
                <w:rFonts w:ascii="Times New Roman" w:hAnsi="Times New Roman"/>
                <w:b/>
                <w:sz w:val="21"/>
              </w:rPr>
              <w:t>95%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same before/after comparison was also applied to a second, independent held-out set, on which the baseline detector was already close to its ceiling at ROC-AUC 0.965 and 100% recall. After the same retraining cycle, recall on that set remained at 100% while ROC-AUC moved slightly to 0.951. Adaptation therefore did not improve a set on which there was effectively no headroom to gain, and the small change in ranking quality is within the variation expected from refitting on a marginally different training sample. This outcome is reported because it delimits the claim: reviewed feedback improves detection for threat families the baseline handles poorly, and neither improves nor materially harms performance where the baseline is already near-perfect.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p>
      <w:pPr>
        <w:jc w:val="center"/>
      </w:pPr>
      <w:r>
        <w:rPr>
          <w:i/>
        </w:rPr>
        <w:t>FIGURE 6.4: ROC curves before and after one adaptive retraining cycle.</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
      <w:r>
        <w:t>Unlike the proprietary commercial filters, the proposed system is open-source and runs entirely locally, so its results are reproducible and can be benchmarked offline, whereas the providers' models cannot be independently re-tested.</w:t>
      </w:r>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0.810 → 0.945; recall maintained at 95% (Table 6.4)</w:t>
            </w:r>
          </w:p>
        </w:tc>
      </w:tr>
    </w:tbl>
    <w:p/>
    <w:p>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r>
        <w:t>Objective 4, adaptive retraining that maintained accuracy, was achieved. After one reviewed retraining cycle on modern threat email, ranking performance on a held-out modern-threat set rose from ROC-AUC 0.81 to 0.945 and recall at a near-zero false-positive point rose from 0.810 to 0.945, while recall was maintained at 95% and accuracy on the main corpus was maintained at 0.991 (Table 6.4), demonstrating measurable adaptation to new threat styles without degrading normal performance.</w:t>
      </w:r>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thirteen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Hardened, production-grade mail-server deployment.</w:t>
      </w:r>
      <w:r>
        <w:t xml:space="preserve"> A connector for a live mailbox over the Internet Message Access Protocol (IMAP) — the standard protocol email clients use to read a mailbox — was implemented, allowing the system to fetch new messages automatically, move spam to a quarantine folder and log decisions for review (Section 5.4). The remaining work is to harden this connector for continuous production use: integration directly with a mail-transfer agent or a provider application programming interface, encrypted storage of the account credentials, automatic reconnection and error recovery, and server-level quarantine/restore controls, so the filter can run unattended on an organisational mail server under formal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A. Alhuzali, A. Alloqmani, M. Aljabri, and F. Alharbi, "In-depth analysis of phishing email detection: Evaluating the performance of machine learning and deep learning models across multiple datasets," </w:t>
      </w:r>
      <w:r>
        <w:rPr>
          <w:i/>
        </w:rPr>
        <w:t>Applied Sciences</w:t>
      </w:r>
      <w:r>
        <w:t>, vol. 15, no. 6, art. 3396, Mar. 2025, doi: 10.3390/app15063396.</w:t>
      </w:r>
    </w:p>
    <w:p>
      <w:r>
        <w:t xml:space="preserve">[7] N. Altwaijry, I. Al-Turaiki, R. Alotaibi, and F. Alakeel, "Advancing phishing email detection: A comparative study of deep learning models," </w:t>
      </w:r>
      <w:r>
        <w:rPr>
          <w:i/>
        </w:rPr>
        <w:t>Sensors</w:t>
      </w:r>
      <w:r>
        <w:t>, vol. 24, no. 7, art. 2077, Mar. 2024, doi: 10.3390/s24072077.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W. Han, J. Zhu, C. Zhang, Z. Zhang, Y. Mei, and L. Wang, "Phish-Master: Leveraging large language models for advanced phishing email generation and detection," </w:t>
      </w:r>
      <w:r>
        <w:rPr>
          <w:i/>
        </w:rPr>
        <w:t>Applied Sciences</w:t>
      </w:r>
      <w:r>
        <w:t>, vol. 15, no. 22, art. 12203, Nov. 2025, doi: 10.3390/app152212203.</w:t>
      </w:r>
    </w:p>
    <w:p>
      <w:r>
        <w:t xml:space="preserve">[13] R. Gutierrez, W. Villegas-Ch, and J. Govea, "Cross-model evaluation of phishing detectors against LLM-generated emails," </w:t>
      </w:r>
      <w:r>
        <w:rPr>
          <w:i/>
        </w:rPr>
        <w:t>Frontiers in Big Data</w:t>
      </w:r>
      <w:r>
        <w:t>, vol. 9, art. 1883452, Jul. 2026, doi: 10.3389/fdata.2026.1883452; associated dataset/code: Zenodo, 2026, doi: 10.5281/zenodo.20250116.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t xml:space="preserve">[21] N. A. Alam, "Phishing email dataset," </w:t>
      </w:r>
      <w:r>
        <w:rPr>
          <w:i/>
        </w:rPr>
        <w:t>Kaggle</w:t>
      </w:r>
      <w:r>
        <w:t>, 2024. [Online]. Available: https://www.kaggle.com/datasets/naserabdullahalam/phishing-email-dataset (accessed Sep. 3, 2026).</w:t>
      </w:r>
    </w:p>
    <w:p>
      <w:r>
        <w:t xml:space="preserve">[22] A. Al-Subaiey, M. Al-Thani, N. A. Alam, K. F. Antora, A. Khandakar, and S. A. U. Zaman, "Novel interpretable and robust web-based AI platform for phishing email detection," </w:t>
      </w:r>
      <w:r>
        <w:rPr>
          <w:i/>
        </w:rPr>
        <w:t>Computers and Electrical Engineering</w:t>
      </w:r>
      <w:r>
        <w:t>, vol. 120, art. 109625, Dec. 2024, doi: 10.1016/j.compeleceng.2024.109625.</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thirteen extracted metadata values shown.]</w:t>
      </w:r>
    </w:p>
    <w:p>
      <w:pPr>
        <w:pStyle w:val="Heading1"/>
        <w:jc w:val="left"/>
      </w:pPr>
      <w:r>
        <w:rPr>
          <w:rFonts w:ascii="Times New Roman" w:hAnsi="Times New Roman"/>
          <w:color w:val="000000"/>
        </w:rPr>
        <w:t>Appendix D — Weekly / Bi-weekly Log</w:t>
      </w:r>
    </w:p>
    <w:p>
      <w:r>
        <w:t>[FILL IN: insert at least six bi-weekly/weekly progress report forms signed by the supervisor.]</w:t>
      </w:r>
    </w:p>
    <w:p>
      <w:pPr>
        <w:pStyle w:val="Heading1"/>
        <w:jc w:val="left"/>
      </w:pPr>
      <w:r>
        <w:rPr>
          <w:rFonts w:ascii="Times New Roman" w:hAnsi="Times New Roman"/>
          <w:color w:val="000000"/>
        </w:rPr>
        <w:t>Appendix E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F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