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converted into numerical</w:t>
      </w:r>
    </w:p>
    <w:p>
      <w:r>
        <w:t>features using term frequency–inverse document frequency (TF-IDF). In plain terms, TF-IDF gave</w:t>
      </w:r>
    </w:p>
    <w:p>
      <w:r>
        <w:t>each word a high score when it appeared often in a particular email but rarely across all</w:t>
      </w:r>
    </w:p>
    <w:p>
      <w:r>
        <w:t>emails, so distinctive spam vocabulary stood out while common words such as "the" or "and"</w:t>
      </w:r>
    </w:p>
    <w:p>
      <w:r>
        <w:t>were down-weighted. The text was vectorised with TF-IDF over word unigrams/bigrams (up to</w:t>
      </w:r>
    </w:p>
    <w:p>
      <w:r>
        <w:t>40,000 terms) and over character n-grams of length three to five (up to 30,000 features), using</w:t>
      </w:r>
    </w:p>
    <w:p>
      <w:r>
        <w:t>sub-linear term-frequency scaling. The word stream captured phrasing while the character stream</w:t>
      </w:r>
    </w:p>
    <w:p>
      <w:r>
        <w:t>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These terms were defined as follows. A true positive (TP) was a spam message correctly</w:t>
      </w:r>
    </w:p>
    <w:p>
      <w:r>
        <w:t>caught; a false negative (FN) was spam that reached the user; a false positive (FP) was a</w:t>
      </w:r>
    </w:p>
    <w:p>
      <w:r>
        <w:t>legitimate message wrongly marked as spam; and a true negative (TN) was legitimate mail</w:t>
      </w:r>
    </w:p>
    <w:p>
      <w:r>
        <w:t>correctly allowed through. Accuracy was the overall fraction of messages classified correctly;</w:t>
      </w:r>
    </w:p>
    <w:p>
      <w:r>
        <w:t>precision was the fraction of flagged messages that were truly spam (so a high precision meant</w:t>
      </w:r>
    </w:p>
    <w:p>
      <w:r>
        <w:t>few legitimate emails were blocked); recall was the fraction of real spam that was caught (so a</w:t>
      </w:r>
    </w:p>
    <w:p>
      <w:r>
        <w:t>high recall meant little spam slipped through); and the F1 score was the harmonic mean of</w:t>
      </w:r>
    </w:p>
    <w:p>
      <w:r>
        <w:t>precision and recall, summarising the balance between them. Formally, precision was</w:t>
      </w:r>
    </w:p>
    <w:p>
      <w:r>
        <w:t>TP/(TP+FP), recall was TP/(TP+FN), and the F1 score was their harmonic mean. A threshold sweep</w:t>
      </w:r>
    </w:p>
    <w:p>
      <w:r>
        <w:t>reported phishing recall at a low (≤5%) false-positive 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r>
        <w:t>This chapter explains how the design presented in Chapter 4 was implemented and operated. It</w:t>
      </w:r>
    </w:p>
    <w:p>
      <w:r>
        <w:t>describes the hardware used, the software environment and the role of each library, the</w:t>
      </w:r>
    </w:p>
    <w:p>
      <w:r>
        <w:t>configuration settings of the deployed model, and the commands used to train, evaluate and run</w:t>
      </w:r>
    </w:p>
    <w:p>
      <w:r>
        <w:t>the system, before discussing the implementation issues encountered and how they were resolved.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environment. The</w:t>
      </w:r>
    </w:p>
    <w:p>
      <w:r>
        <w:t>libraries used by the project, together with their version numbers, were recorded in a</w:t>
      </w:r>
    </w:p>
    <w:p>
      <w:r>
        <w:t>requirements text file (requirements.txt) so that the same software environment could be</w:t>
      </w:r>
    </w:p>
    <w:p>
      <w:r>
        <w:t>recreated on another machine, and these dependencies were installed into the virtual</w:t>
      </w:r>
    </w:p>
    <w:p>
      <w:r>
        <w:t>environment. Only mature, widely used open-source libraries were chosen so that the project</w:t>
      </w:r>
    </w:p>
    <w:p>
      <w:r>
        <w:t>could be understood and reproduced without proprietary software. The software stack and the</w:t>
      </w:r>
    </w:p>
    <w:p>
      <w:r>
        <w:t>role of each component are summarised 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 (bundled with scikit-learn)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used alongside scikit-learn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 1.3+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0.110+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 0.27+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 2.0+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 3.7+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The version numbers in Table 5.2 matched the minimum versions recorded in the requirements</w:t>
      </w:r>
    </w:p>
    <w:p>
      <w:r>
        <w:t>file, so the environment could be recreated exactly. The python-docx library (1.1+) was used</w:t>
      </w:r>
    </w:p>
    <w:p>
      <w:r>
        <w:t>only to generate this report document and was not part of the detection system.</w:t>
      </w:r>
    </w:p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r>
        <w:t>This chapter reports and discusses the experimental results. It describes the testing setup and</w:t>
      </w:r>
    </w:p>
    <w:p>
      <w:r>
        <w:t>the metrics used, presents the performance of the three classifiers in both content-only and</w:t>
      </w:r>
    </w:p>
    <w:p>
      <w:r>
        <w:t>fused configurations, examines precision, recall, the false-positive rate, latency and the</w:t>
      </w:r>
    </w:p>
    <w:p>
      <w:r>
        <w:t>effect of the decision threshold, evaluates the adaptive-retraining mechanism, and assesses each</w:t>
      </w:r>
    </w:p>
    <w:p>
      <w:r>
        <w:t>objective against the measured evidence.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r>
        <w:t>This final chapter concludes the project. It first summarises what was achieved and how the</w:t>
      </w:r>
    </w:p>
    <w:p>
      <w:r>
        <w:t>results satisfied each of the four objectives stated in Chapter 1, then reflects on the</w:t>
      </w:r>
    </w:p>
    <w:p>
      <w:r>
        <w:t>limitations of the present system and recommends directions for future work, including a</w:t>
      </w:r>
    </w:p>
    <w:p>
      <w:r>
        <w:t>direct comparison with commercial filters on the same emails and deployment in a live mail</w:t>
      </w:r>
    </w:p>
    <w:p>
      <w:r>
        <w:t>environment.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