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and that improved over time through reviewed-feedback retraining.</w:t>
      </w:r>
    </w:p>
    <w:p>
      <w:r>
        <w:t>Raw emails were parsed to extract word and character term-frequency–inverse-document-frequency (TF-IDF) content features together with twelve structural metadata signals, including URL and attachment counts, sender-to-link domain mismatch, reply-to presence, sender-policy-framework and DomainKeys-Identified-Mail indicators, and casing and urgency-term statistics. The streams were fused into a single feature space and classified by a class-balanced logistic regression model, with multinomial Naïve Bayes and a linear support vector machine evaluated for comparison. A FastAPI service, a browser review console, a mailbox watcher with quarantine, and a feedback-driven retraining loop were implemented. The detector ran entirely on a commodity central processing unit with no graphics-processor requirement.</w:t>
      </w:r>
    </w:p>
    <w:p>
      <w:r>
        <w:t>The fused model was trained on 81,152 de-duplicated public emails and achieved 99.2% accuracy with precision 0.991, recall 0.992 and receiver-operating-characteristic area under the curve of 1.000 on a held-out test split, at a median latency of approximately 16 milliseconds per email. On 4,986 phishing emails generated by three large language models — none of which the model was trained on — the detector flagged 92%, demonstrating strong generalisation to AI-assisted phishing. After one adaptive retraining cycle on reviewed modern-threat examples, detection ranking on held-out AI-style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566144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566144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400691"/>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400691"/>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insert the taxonomy diagram; caption "Taxonomy of spam-detection approaches and the position of this project."</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insert the rule-/keyword-based filtering concept diagram</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insert the content-based statistical classification concept diagram</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insert the metadata/reputation-based filtering concept diagram</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insert the hybrid content–metadata fusion concept diagram</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insert the system architecture image; caption as above</w:t>
      </w:r>
    </w:p>
    <w:p>
      <w:pPr>
        <w:pStyle w:val="Heading2"/>
        <w:jc w:val="left"/>
      </w:pPr>
      <w:r>
        <w:rPr>
          <w:rFonts w:ascii="Times New Roman" w:hAnsi="Times New Roman"/>
          <w:color w:val="000000"/>
        </w:rPr>
        <w:t>3.1.2 Use Case Diagram and Description</w:t>
      </w:r>
    </w:p>
    <w:p>
      <w:r>
        <w:t>The primary actor was an IT administrator or reviewer. A secondary, automated actor was a mail automation workflow that called the service. Figure 3.2 presents the use-case diagram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insert the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An email is pasted in the review console, submitted to the prediction service, or picked up by the mailbox watcher.</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verdict and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returns a label, spam probability and the structural signals that fired.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flagged mail</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watcher</w:t>
            </w:r>
          </w:p>
        </w:tc>
        <w:tc>
          <w:tcPr>
            <w:tcW w:type="dxa" w:w="3024"/>
          </w:tcPr>
          <w:p>
            <w:pPr>
              <w:spacing w:line="240" w:lineRule="auto" w:after="40"/>
              <w:jc w:val="left"/>
            </w:pPr>
            <w:r>
              <w:rPr>
                <w:rFonts w:ascii="Times New Roman" w:hAnsi="Times New Roman"/>
                <w:sz w:val="21"/>
              </w:rPr>
            </w:r>
            <w:r>
              <w:rPr>
                <w:rFonts w:ascii="Times New Roman" w:hAnsi="Times New Roman"/>
                <w:sz w:val="21"/>
              </w:rPr>
              <w:t>Messages above threshold are moved to a quarantine folder in quarantine mode.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misclassification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marks a result as spam/ham/correct; the correction is appended to the labelled feedback store.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Retrain on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scheduler</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Reviewed labels are merged with training data and a new model is fitted, validated and redeployed.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 predictions</w:t>
            </w:r>
          </w:p>
        </w:tc>
        <w:tc>
          <w:tcPr>
            <w:tcW w:type="dxa" w:w="3024"/>
          </w:tcPr>
          <w:p>
            <w:pPr>
              <w:spacing w:line="240" w:lineRule="auto" w:after="40"/>
              <w:jc w:val="left"/>
            </w:pPr>
            <w:r>
              <w:rPr>
                <w:rFonts w:ascii="Times New Roman" w:hAnsi="Times New Roman"/>
                <w:sz w:val="21"/>
              </w:rPr>
            </w:r>
            <w:r>
              <w:rPr>
                <w:rFonts w:ascii="Times New Roman" w:hAnsi="Times New Roman"/>
                <w:sz w:val="21"/>
              </w:rPr>
              <w:t>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External workflows obtain scores through the REST API.</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insert the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Formally, precision was TP/(TP+FP), recall was TP/(TP+FN), and the F1 score was their harmonic mean. A threshold sweep reported phishing recall at a low (≤5%) false-positive operating point.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insert the system block diagram (ingestion, features, fusion, action, adaptation)</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jc w:val="center"/>
      </w:pPr>
      <w:r>
        <w:rPr>
          <w:i/>
        </w:rPr>
        <w:t>FIGURE 5.1: Screenshot of the terminal showing the Python virtual environment created and the requirements installed successfully.</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Software / library</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Purpose in the project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Python 3.11</w:t>
            </w:r>
          </w:p>
        </w:tc>
        <w:tc>
          <w:tcPr>
            <w:tcW w:type="dxa" w:w="4536"/>
          </w:tcPr>
          <w:p>
            <w:pPr>
              <w:spacing w:line="240" w:lineRule="auto" w:after="40"/>
              <w:jc w:val="left"/>
            </w:pPr>
            <w:r>
              <w:rPr>
                <w:rFonts w:ascii="Times New Roman" w:hAnsi="Times New Roman"/>
                <w:sz w:val="21"/>
              </w:rPr>
            </w:r>
            <w:r>
              <w:rPr>
                <w:rFonts w:ascii="Times New Roman" w:hAnsi="Times New Roman"/>
                <w:sz w:val="21"/>
              </w:rPr>
              <w:t>Programming language for all scripts and the detection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scikit-learn 1.4+</w:t>
            </w:r>
          </w:p>
        </w:tc>
        <w:tc>
          <w:tcPr>
            <w:tcW w:type="dxa" w:w="4536"/>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Naive Bayes, logistic regression, support-vector machine, feature scaling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NumPy (bundled with scikit-learn)</w:t>
            </w:r>
          </w:p>
        </w:tc>
        <w:tc>
          <w:tcPr>
            <w:tcW w:type="dxa" w:w="4536"/>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Joblib 1.3+</w:t>
            </w:r>
          </w:p>
        </w:tc>
        <w:tc>
          <w:tcPr>
            <w:tcW w:type="dxa" w:w="4536"/>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FastAPI 0.110+</w:t>
            </w:r>
          </w:p>
        </w:tc>
        <w:tc>
          <w:tcPr>
            <w:tcW w:type="dxa" w:w="4536"/>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Uvicorn 0.27+</w:t>
            </w:r>
          </w:p>
        </w:tc>
        <w:tc>
          <w:tcPr>
            <w:tcW w:type="dxa" w:w="4536"/>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Pydantic 2.0+</w:t>
            </w:r>
          </w:p>
        </w:tc>
        <w:tc>
          <w:tcPr>
            <w:tcW w:type="dxa" w:w="4536"/>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Matplotlib 3.7+</w:t>
            </w:r>
          </w:p>
        </w:tc>
        <w:tc>
          <w:tcPr>
            <w:tcW w:type="dxa" w:w="4536"/>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bl>
    <w:p/>
    <w:p>
      <w:r>
        <w:t>The version numbers in Table 5.2 matched the minimum versions recorded in the requirements file, so the environment could be recreated exactly. The python-docx library (1.1+) was used only to generate this report document and was not part of the detection system.</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p>
      <w:pPr>
        <w:jc w:val="center"/>
      </w:pPr>
      <w:r>
        <w:rPr>
          <w:i/>
        </w:rPr>
        <w:t>FIGURE 5.2: Screenshot of the browser check-and-review console showing an email classified as phishing with a high probability and the fired structural-signal chips, plus the Spam / Ham / Correct feedback buttons.</w:t>
      </w:r>
    </w:p>
    <w:p>
      <w:pPr>
        <w:jc w:val="center"/>
      </w:pPr>
      <w:r>
        <w:rPr>
          <w:i/>
        </w:rPr>
        <w:t>FIGURE 5.3: Screenshot of an example service prediction response showing the label, probability, confidence and list of signals.</w:t>
      </w:r>
    </w:p>
    <w:p>
      <w:pPr>
        <w:jc w:val="center"/>
      </w:pPr>
      <w:r>
        <w:rPr>
          <w:i/>
        </w:rPr>
        <w:t>FIGURE 5.4: Screenshot of a mailbox watch run in quarantine mode, showing a flagged message being moved to the quarantine directory and the decision being logged to the review queue.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Environment policy.</w:t>
      </w:r>
      <w:r>
        <w:t xml:space="preserve"> A Windows application-control policy initially blocked a scientific-library binary; installing official prebuilt packages resolved the issue.</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w:t>
      </w:r>
    </w:p>
    <w:p>
      <w:pPr>
        <w:jc w:val="center"/>
      </w:pPr>
      <w:r>
        <w:rPr>
          <w:i/>
        </w:rPr>
        <w:t>FIGURE 6.1: Confusion matrix heat-map for the fused model on the held-out split, showing 10,399 / 80 / 90 / 9,719.</w:t>
      </w:r>
    </w:p>
    <w:p>
      <w:pPr>
        <w:jc w:val="center"/>
      </w:pPr>
      <w:r>
        <w:rPr>
          <w:i/>
        </w:rPr>
        <w:t>FIGURE 6.2: ROC curve for the fused model (AUC ≈ 1.000) with the threshold sweep annotated, and a secondary plot of phishing recall versus false-positive rate.</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w:t>
      </w:r>
    </w:p>
    <w:p>
      <w:pPr>
        <w:jc w:val="center"/>
      </w:pPr>
      <w:r>
        <w:rPr>
          <w:i/>
        </w:rPr>
        <w:t>FIGURE 6.3: Line chart of catch rate versus decision threshold on the LLM-phishing set, annotated at 0.55 (84%) and the low-threshold point (92%).</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p>
      <w:pPr>
        <w:jc w:val="center"/>
      </w:pPr>
      <w:r>
        <w:rPr>
          <w:i/>
        </w:rPr>
        <w:t>FIGURE 6.4: Two ROC curves on the held-out modern-threat set — before (AUC 0.81) and after (AUC 0.945) retraining — on the same axes with a legend.</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Live mailbox integration.</w:t>
      </w:r>
      <w:r>
        <w:t xml:space="preserve"> Connect the API to a live mailbox through an automation platform or mail-transfer agent, with quarantine and a reviewer dashboard, under appropriate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