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5472725"/>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5472725"/>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287335"/>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287335"/>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primary actor was an IT administrator or reviewer. A secondary, automated actor was a mail automation workflow that called the service. Figure 3.2 presents the use-case diagram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insert the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An email is pasted in the review console, submitted to the prediction service, or picked up by the mailbox watcher.</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verdict and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returns a label, spam probability and the structural signals that fired.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flagged mail</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watcher</w:t>
            </w:r>
          </w:p>
        </w:tc>
        <w:tc>
          <w:tcPr>
            <w:tcW w:type="dxa" w:w="3024"/>
          </w:tcPr>
          <w:p>
            <w:pPr>
              <w:spacing w:line="240" w:lineRule="auto" w:after="40"/>
              <w:jc w:val="left"/>
            </w:pPr>
            <w:r>
              <w:rPr>
                <w:rFonts w:ascii="Times New Roman" w:hAnsi="Times New Roman"/>
                <w:sz w:val="21"/>
              </w:rPr>
            </w:r>
            <w:r>
              <w:rPr>
                <w:rFonts w:ascii="Times New Roman" w:hAnsi="Times New Roman"/>
                <w:sz w:val="21"/>
              </w:rPr>
              <w:t>Messages above threshold are moved to a quarantine folder in quarantine mode.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misclassification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marks a result as spam/ham/correct; the correction is appended to the labelled feedback store.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Retrain on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scheduler</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Reviewed labels are merged with training data and a new model is fitted, validated and redeployed.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 predictions</w:t>
            </w:r>
          </w:p>
        </w:tc>
        <w:tc>
          <w:tcPr>
            <w:tcW w:type="dxa" w:w="3024"/>
          </w:tcPr>
          <w:p>
            <w:pPr>
              <w:spacing w:line="240" w:lineRule="auto" w:after="40"/>
              <w:jc w:val="left"/>
            </w:pPr>
            <w:r>
              <w:rPr>
                <w:rFonts w:ascii="Times New Roman" w:hAnsi="Times New Roman"/>
                <w:sz w:val="21"/>
              </w:rPr>
            </w:r>
            <w:r>
              <w:rPr>
                <w:rFonts w:ascii="Times New Roman" w:hAnsi="Times New Roman"/>
                <w:sz w:val="21"/>
              </w:rPr>
              <w:t>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External workflows obtain scores through the REST API.</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insert the system block diagram (ingestion, features, fusion, action, adaptation)</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Screenshot of the terminal showing the Python virtual environment created and the requirements installed successfully</w:t>
            </w:r>
          </w:p>
        </w:tc>
      </w:tr>
    </w:tbl>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Pr>
        <w:spacing w:line="360" w:lineRule="auto" w:after="120" w:before="0"/>
        <w:jc w:val="both"/>
      </w:pPr>
      <w:r>
        <w:t>The version numbers in Table 5.2 matched the minimum versions recorded in the requirements file, so the environment could be recreated exactly. The python-docx library (1.1+) was used only to generate this report document and was not part of the detection system.</w:t>
      </w:r>
    </w:p>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Screenshot of the browser check-and-review console showing an email classified as phishing with a high probability and the fired structural-signal chips, plus the Spam / Ham / Correct feedback buttons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Screenshot of an example service prediction response showing the label, probability, confidence and list of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Screenshot of a mailbox watch run in quarantine mode, showing a flagged message being moved to the quarantine directory and the decision being logged to the review queue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Two ROC curves on the held-out modern-threat set — before (AUC 0.81) and after (AUC 0.945) retraining — on the same axes with a legend</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