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5.5 Live IMAP run scoring four messages retrieved from a commercial mailbox. - Figure 5.6 Review inbox with confirm, correct and retrain controls.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 [21] N. A. Alam, "Phishing email dataset," Kaggle, 2024. [Online]. Available: https://www.kaggle.com/datasets/naserabdullahalam/phishing-email-dataset (accessed Sep. 3, 2026). [22] A. Al-Subaiey, M. Al-Thani, N. A. Alam, K. F. Antora, A. Khandakar, and S. A. U. Zaman, "Novel interpretable and robust web-based AI platform for phishing email detection," Computers and Electrical Engineering, vol. 120, art. 109625, Dec. 2024, doi: 10.1016/j.compeleceng.2024.109625.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13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pStyle w:val="Heading3"/>
        <w:spacing w:before="200" w:after="120"/>
      </w:pPr>
      <w:r>
        <w:t>5.4.1 Checking an Email in the Review Console</w:t>
      </w:r>
    </w:p>
    <w:p>
      <w:pPr>
        <w:spacing w:line="360" w:lineRule="auto" w:after="120" w:before="0"/>
        <w:jc w:val="both"/>
      </w:pPr>
      <w:r>
        <w:t>The review console was the manual entry point to the detector. A reviewer pasted the complete source of an email into the console and submitted it for scoring. The console returned the predicted label, the spam probability, a confidence value and the list of structural signals that fired for that message, so that the verdict could be interpreted rather than merely accepted. Figure 5.2 shows the console after a phishing message was submitted.</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p>
      <w:pPr>
        <w:spacing w:line="360" w:lineRule="auto" w:after="120" w:before="0"/>
        <w:jc w:val="both"/>
      </w:pPr>
      <w:r>
        <w:t>Figure 5.2 shows the console classifying a credential-harvesting message as spam. The probability bar reports the score assigned by the model, and the signal chips beneath it name the structural evidence that contributed to the decision, including the mismatch between the sender domain and the domain of the embedded link and the presence of a reply-to address different from the sender.</w:t>
      </w:r>
    </w:p>
    <w:p>
      <w:pPr>
        <w:pStyle w:val="Heading3"/>
        <w:spacing w:before="200" w:after="120"/>
      </w:pPr>
      <w:r>
        <w:t>5.4.2 Service Prediction Response</w:t>
      </w:r>
    </w:p>
    <w:p>
      <w:pPr>
        <w:spacing w:line="360" w:lineRule="auto" w:after="120" w:before="0"/>
        <w:jc w:val="both"/>
      </w:pPr>
      <w:r>
        <w:t>The same detector was exposed as a local service so that other software could obtain a verdict programmatically rather than through the browser. A client submitted the raw email to the prediction endpoint and received a structured response. Figure 5.3 shows a response returned by the service.</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p>
      <w:pPr>
        <w:spacing w:line="360" w:lineRule="auto" w:after="120" w:before="0"/>
        <w:jc w:val="both"/>
      </w:pPr>
      <w:r>
        <w:t>Figure 5.3 shows the response for a single message, containing the predicted label, the spam probability, the confidence value and the named structural signals. Returning the signals alongside the verdict allowed a calling system to log why a message was flagged, which was a requirement for the review and appeal process described in Section 4.4.</w:t>
      </w:r>
    </w:p>
    <w:p>
      <w:pPr>
        <w:pStyle w:val="Heading3"/>
        <w:spacing w:before="200" w:after="120"/>
      </w:pPr>
      <w:r>
        <w:t>5.4.3 Mailbox Watch and Quarantine</w:t>
      </w:r>
    </w:p>
    <w:p>
      <w:pPr>
        <w:spacing w:line="360" w:lineRule="auto" w:after="120" w:before="0"/>
        <w:jc w:val="both"/>
      </w:pPr>
      <w:r>
        <w:t>The mailbox watcher applied the detector to a folder of stored messages rather than to a single pasted email. Each message file was parsed, scored and recorded in the review queue; in quarantine mode a flagged message was moved into a separate quarantine folder while legitimate mail was left untouched. Figure 5.4 shows a watch run in progress.</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pPr>
        <w:spacing w:line="360" w:lineRule="auto" w:after="120" w:before="0"/>
        <w:jc w:val="both"/>
      </w:pPr>
      <w:r>
        <w:t>Figure 5.4 shows the watcher processing a folder containing both legitimate and phishing messages. Each line reports the verdict and the probability for one message, and the flagged messages are reported as moved to the quarantine folder. Nothing was deleted at any point: the quarantine folder retained every flagged message so that a false positive could be recovered.</w:t>
      </w:r>
    </w:p>
    <w:p>
      <w:pPr>
        <w:pStyle w:val="Heading3"/>
        <w:spacing w:before="200" w:after="120"/>
      </w:pPr>
      <w:r>
        <w:t>5.4.4 Live Mailbox Filtering over IMAP</w:t>
      </w:r>
    </w:p>
    <w:p>
      <w:pPr>
        <w:spacing w:line="360" w:lineRule="auto" w:after="120" w:before="0"/>
        <w:jc w:val="both"/>
      </w:pPr>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message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pPr>
        <w:spacing w:line="360" w:lineRule="auto" w:after="120" w:before="0"/>
        <w:jc w:val="both"/>
      </w:pPr>
      <w:r>
        <w:t>An unanticipated but instructive observation arose during this run. The provider applied its own filter before delivery and placed all four test messages, including the legitimate one, in its spam folder, so that none of them reached the inbox. The connector was therefore directed at that folder instead, which had the useful effect of turning the exercise into an independent second opinion on messages the provider had already judged. Figure 5.5 records the result.</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5.5: Live IMAP run scoring four messages retrieved from a commercial mailbox, showing three phishing messages flagged and one legitimate message released</w:t>
            </w:r>
          </w:p>
        </w:tc>
      </w:tr>
    </w:tbl>
    <w:p>
      <w:pPr>
        <w:spacing w:line="360" w:lineRule="auto" w:after="120" w:before="0"/>
        <w:jc w:val="both"/>
      </w:pPr>
      <w:r>
        <w:t>Figure 5.5 shows that the three phishing messages were assigned spam probabilities of 97.6%, 98.7% and 99.8% and were flagged, whereas the legitimate message received 27.4% and was correctly released. The proposed detector therefore agreed with the provider on the three phishing messages and disagreed on the one legitimate message, which the provider had filtered and the detector had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w:t>
      </w:r>
    </w:p>
    <w:p>
      <w:pPr>
        <w:pStyle w:val="Heading3"/>
        <w:spacing w:before="200" w:after="120"/>
      </w:pPr>
      <w:r>
        <w:t>5.4.5 Reviewer Feedback and Retraining</w:t>
      </w:r>
    </w:p>
    <w:p>
      <w:pPr>
        <w:spacing w:line="360" w:lineRule="auto" w:after="120" w:before="0"/>
        <w:jc w:val="both"/>
      </w:pPr>
      <w:r>
        <w:t>Every message scored by either watcher was written to the review queue, and the console presented those messages to a reviewer for confirmation or correction. For each message the reviewer either confirmed the verdict or recorded the correct label; a verdict entered by mistake could be changed simply by selecting a different one, and only the most recent verdict for a message was retained. Corrections accumulated in the feedback store and did not alter the deployed model until retraining was explicitly requested. Figure 5.6 shows the review inbox.</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5.6: Review inbox showing scored messages with confirm and correct controls, and the retraining control</w:t>
            </w:r>
          </w:p>
        </w:tc>
      </w:tr>
    </w:tbl>
    <w:p>
      <w:pPr>
        <w:spacing w:line="360" w:lineRule="auto" w:after="120" w:before="0"/>
        <w:jc w:val="both"/>
      </w:pPr>
      <w:r>
        <w:t>Figure 5.6 shows the queued messages with their verdicts and probabilities, the controls used to confirm or correct each one, and the control that starts a retraining cycle. When retraining was requested, a candidate model was trained on the historical corpus together with the accumulated corrections and was compared with the deployed model on the held-out split; the candidate replaced the deployed model only if it did not reduce ranking quality. This validation gate is discussed further in Section 7.2.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~13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