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55" w:rsidRDefault="00351655" w:rsidP="00351655"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坑洼跟踪和修复系统</w:t>
      </w:r>
    </w:p>
    <w:p w:rsidR="00351655" w:rsidRDefault="00351655" w:rsidP="00351655">
      <w:pPr>
        <w:rPr>
          <w:rFonts w:hint="eastAsia"/>
        </w:rPr>
      </w:pPr>
    </w:p>
    <w:p w:rsidR="00501F17" w:rsidRDefault="00351655" w:rsidP="00351655">
      <w:r w:rsidRPr="00351655">
        <w:drawing>
          <wp:inline distT="0" distB="0" distL="0" distR="0" wp14:anchorId="4098A017" wp14:editId="4B3783BA">
            <wp:extent cx="4781550" cy="1552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55" w:rsidRDefault="00351655" w:rsidP="00151983">
      <w:pPr>
        <w:jc w:val="center"/>
        <w:rPr>
          <w:rFonts w:hint="eastAsia"/>
        </w:rPr>
      </w:pPr>
      <w:r>
        <w:rPr>
          <w:rFonts w:hint="eastAsia"/>
        </w:rPr>
        <w:t>顶层图</w:t>
      </w:r>
    </w:p>
    <w:p w:rsidR="00351655" w:rsidRDefault="00351655" w:rsidP="00351655">
      <w:r w:rsidRPr="00351655">
        <w:drawing>
          <wp:inline distT="0" distB="0" distL="0" distR="0" wp14:anchorId="0529A290" wp14:editId="4E1B14BD">
            <wp:extent cx="4600575" cy="2381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55" w:rsidRDefault="00351655" w:rsidP="00351655">
      <w:pPr>
        <w:jc w:val="center"/>
      </w:pPr>
      <w:r>
        <w:rPr>
          <w:rFonts w:hint="eastAsia"/>
        </w:rPr>
        <w:t>零层图</w:t>
      </w:r>
    </w:p>
    <w:p w:rsidR="00351655" w:rsidRDefault="00351655" w:rsidP="00351655">
      <w:pPr>
        <w:jc w:val="center"/>
      </w:pPr>
    </w:p>
    <w:p w:rsidR="00351655" w:rsidRDefault="00351655" w:rsidP="00351655">
      <w:pPr>
        <w:jc w:val="center"/>
      </w:pPr>
    </w:p>
    <w:p w:rsidR="00351655" w:rsidRDefault="00181A76" w:rsidP="00351655">
      <w:pPr>
        <w:jc w:val="center"/>
      </w:pPr>
      <w:r w:rsidRPr="00181A76">
        <w:lastRenderedPageBreak/>
        <w:drawing>
          <wp:inline distT="0" distB="0" distL="0" distR="0" wp14:anchorId="6A4E5F29" wp14:editId="720F6FD4">
            <wp:extent cx="5274310" cy="35852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55" w:rsidRDefault="00351655" w:rsidP="00351655">
      <w:pPr>
        <w:jc w:val="center"/>
      </w:pPr>
      <w:r>
        <w:rPr>
          <w:rFonts w:hint="eastAsia"/>
        </w:rPr>
        <w:t>加工</w:t>
      </w:r>
      <w:r w:rsidR="00151983">
        <w:rPr>
          <w:rFonts w:hint="eastAsia"/>
        </w:rPr>
        <w:t>一</w:t>
      </w:r>
      <w:r>
        <w:rPr>
          <w:rFonts w:hint="eastAsia"/>
        </w:rPr>
        <w:t>子图</w:t>
      </w:r>
    </w:p>
    <w:p w:rsidR="00181A76" w:rsidRDefault="00181A76" w:rsidP="00351655">
      <w:pPr>
        <w:jc w:val="center"/>
      </w:pPr>
    </w:p>
    <w:p w:rsidR="00181A76" w:rsidRDefault="00181A76" w:rsidP="00181A76">
      <w:pPr>
        <w:jc w:val="left"/>
      </w:pPr>
      <w:r>
        <w:rPr>
          <w:rFonts w:hint="eastAsia"/>
        </w:rPr>
        <w:t>数据字典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1A76" w:rsidTr="00181A76"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组成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来源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去向</w:t>
            </w:r>
          </w:p>
        </w:tc>
      </w:tr>
      <w:tr w:rsidR="00181A76" w:rsidTr="00181A76"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坑洼信息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坑挖的位置和严重程度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市民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关联坑洼信息</w:t>
            </w:r>
          </w:p>
        </w:tc>
      </w:tr>
      <w:tr w:rsidR="00181A76" w:rsidTr="00181A76"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维修信息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修理队标识号、人数、分配的设备、修复所用时间、坑洼状况、开销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维修队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关联坑洼信息</w:t>
            </w:r>
          </w:p>
        </w:tc>
      </w:tr>
      <w:tr w:rsidR="00181A76" w:rsidTr="00181A76"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市民信息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市民的姓名、地点、电话号码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市民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产生损害文件</w:t>
            </w:r>
          </w:p>
        </w:tc>
      </w:tr>
      <w:tr w:rsidR="00181A76" w:rsidTr="00181A76"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损害文件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市民信息、坑洼信息、损害的类型和损害的钱数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产生损害文件</w:t>
            </w: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数据库</w:t>
            </w:r>
          </w:p>
        </w:tc>
      </w:tr>
      <w:tr w:rsidR="00181A76" w:rsidTr="00181A76"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</w:tr>
      <w:tr w:rsidR="00181A76" w:rsidTr="00181A76"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</w:tr>
      <w:tr w:rsidR="00181A76" w:rsidTr="00181A76"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  <w:tc>
          <w:tcPr>
            <w:tcW w:w="2074" w:type="dxa"/>
          </w:tcPr>
          <w:p w:rsidR="00181A76" w:rsidRDefault="00181A76" w:rsidP="00181A76">
            <w:pPr>
              <w:jc w:val="left"/>
              <w:rPr>
                <w:rFonts w:hint="eastAsia"/>
              </w:rPr>
            </w:pPr>
          </w:p>
        </w:tc>
      </w:tr>
    </w:tbl>
    <w:p w:rsidR="00181A76" w:rsidRDefault="00181A76" w:rsidP="00181A76">
      <w:pPr>
        <w:jc w:val="left"/>
        <w:rPr>
          <w:rFonts w:hint="eastAsia"/>
        </w:rPr>
      </w:pPr>
    </w:p>
    <w:p w:rsidR="00351655" w:rsidRDefault="00351655" w:rsidP="00351655">
      <w:pPr>
        <w:jc w:val="center"/>
      </w:pPr>
    </w:p>
    <w:p w:rsidR="00351655" w:rsidRDefault="00351655" w:rsidP="00351655">
      <w:pPr>
        <w:jc w:val="center"/>
      </w:pPr>
    </w:p>
    <w:p w:rsidR="00351655" w:rsidRDefault="00351655" w:rsidP="00351655">
      <w:pPr>
        <w:jc w:val="left"/>
      </w:pPr>
    </w:p>
    <w:p w:rsidR="00351655" w:rsidRDefault="00351655" w:rsidP="00351655">
      <w:pPr>
        <w:jc w:val="left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JS书店管理系统</w:t>
      </w:r>
    </w:p>
    <w:p w:rsidR="00351655" w:rsidRDefault="00351655" w:rsidP="00351655">
      <w:pPr>
        <w:jc w:val="left"/>
        <w:rPr>
          <w:rFonts w:hint="eastAsia"/>
        </w:rPr>
      </w:pPr>
    </w:p>
    <w:p w:rsidR="00351655" w:rsidRDefault="00351655" w:rsidP="00351655">
      <w:pPr>
        <w:jc w:val="left"/>
      </w:pPr>
      <w:r w:rsidRPr="00351655">
        <w:lastRenderedPageBreak/>
        <w:drawing>
          <wp:inline distT="0" distB="0" distL="0" distR="0" wp14:anchorId="39B87F4C" wp14:editId="4AECBD61">
            <wp:extent cx="4352925" cy="3457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655" w:rsidRDefault="00351655" w:rsidP="00351655">
      <w:pPr>
        <w:jc w:val="center"/>
        <w:rPr>
          <w:rFonts w:hint="eastAsia"/>
        </w:rPr>
      </w:pPr>
      <w:r>
        <w:rPr>
          <w:rFonts w:hint="eastAsia"/>
        </w:rPr>
        <w:t>零层图</w:t>
      </w:r>
    </w:p>
    <w:p w:rsidR="00351655" w:rsidRDefault="00151983" w:rsidP="00151983">
      <w:r w:rsidRPr="00151983">
        <w:drawing>
          <wp:inline distT="0" distB="0" distL="0" distR="0" wp14:anchorId="2A6F3266" wp14:editId="0F4F0013">
            <wp:extent cx="5229225" cy="28289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83" w:rsidRDefault="00151983" w:rsidP="00151983">
      <w:pPr>
        <w:jc w:val="center"/>
      </w:pPr>
      <w:r>
        <w:rPr>
          <w:rFonts w:hint="eastAsia"/>
        </w:rPr>
        <w:t>零层图</w:t>
      </w:r>
    </w:p>
    <w:p w:rsidR="00151983" w:rsidRDefault="00151983" w:rsidP="00151983">
      <w:pPr>
        <w:jc w:val="center"/>
      </w:pPr>
      <w:r w:rsidRPr="00151983">
        <w:lastRenderedPageBreak/>
        <w:drawing>
          <wp:inline distT="0" distB="0" distL="0" distR="0" wp14:anchorId="19B75FD7" wp14:editId="4E5BF507">
            <wp:extent cx="5274310" cy="35159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83" w:rsidRDefault="00151983" w:rsidP="00151983">
      <w:pPr>
        <w:jc w:val="center"/>
      </w:pPr>
      <w:r>
        <w:rPr>
          <w:rFonts w:hint="eastAsia"/>
        </w:rPr>
        <w:t>一层图1</w:t>
      </w:r>
    </w:p>
    <w:p w:rsidR="00151983" w:rsidRDefault="00151983" w:rsidP="00151983">
      <w:pPr>
        <w:jc w:val="center"/>
      </w:pPr>
      <w:r w:rsidRPr="00151983">
        <w:drawing>
          <wp:inline distT="0" distB="0" distL="0" distR="0" wp14:anchorId="54DF9966" wp14:editId="5DBE6536">
            <wp:extent cx="5274310" cy="373316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83" w:rsidRDefault="00151983" w:rsidP="00151983">
      <w:pPr>
        <w:jc w:val="center"/>
      </w:pPr>
      <w:r>
        <w:rPr>
          <w:rFonts w:hint="eastAsia"/>
        </w:rPr>
        <w:t>一层图2</w:t>
      </w:r>
    </w:p>
    <w:p w:rsidR="00151983" w:rsidRDefault="00151983" w:rsidP="00151983">
      <w:pPr>
        <w:jc w:val="center"/>
      </w:pPr>
      <w:r w:rsidRPr="00151983">
        <w:lastRenderedPageBreak/>
        <w:drawing>
          <wp:inline distT="0" distB="0" distL="0" distR="0" wp14:anchorId="3DE9833E" wp14:editId="4FBE1487">
            <wp:extent cx="5274310" cy="43192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983" w:rsidRDefault="00151983" w:rsidP="00151983">
      <w:pPr>
        <w:jc w:val="center"/>
      </w:pPr>
      <w:r>
        <w:rPr>
          <w:rFonts w:hint="eastAsia"/>
        </w:rPr>
        <w:t>一层图3</w:t>
      </w:r>
    </w:p>
    <w:p w:rsidR="00151983" w:rsidRDefault="00151983" w:rsidP="00151983">
      <w:pPr>
        <w:jc w:val="center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51983" w:rsidTr="00151983"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b/>
                <w:bCs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b/>
                <w:bCs/>
                <w:color w:val="000000"/>
                <w:kern w:val="0"/>
                <w:sz w:val="22"/>
              </w:rPr>
              <w:t>组成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b/>
                <w:bCs/>
                <w:color w:val="000000"/>
                <w:kern w:val="0"/>
                <w:sz w:val="22"/>
              </w:rPr>
              <w:t>来源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b/>
                <w:bCs/>
                <w:color w:val="000000"/>
                <w:kern w:val="0"/>
                <w:sz w:val="22"/>
              </w:rPr>
              <w:t>去向</w:t>
            </w:r>
          </w:p>
        </w:tc>
        <w:tc>
          <w:tcPr>
            <w:tcW w:w="1660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b/>
                <w:bCs/>
                <w:color w:val="000000"/>
                <w:kern w:val="0"/>
                <w:sz w:val="22"/>
              </w:rPr>
              <w:t>注解</w:t>
            </w:r>
          </w:p>
        </w:tc>
      </w:tr>
      <w:tr w:rsidR="00151983" w:rsidTr="00151983"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采购单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名称，条码，数</w:t>
            </w:r>
            <w:r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，购买时间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JS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书店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1660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JS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书店需要购买的</w:t>
            </w:r>
            <w:r>
              <w:rPr>
                <w:rFonts w:ascii="PingFangSC-Regular" w:eastAsia="PingFangSC-Regular" w:hAnsi="TrebuchetMS" w:cs="PingFangSC-Regular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图书</w:t>
            </w:r>
          </w:p>
        </w:tc>
      </w:tr>
      <w:tr w:rsidR="00151983" w:rsidTr="00151983"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JS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书店退货单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名称，条码，数</w:t>
            </w:r>
            <w:r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，购买时间，退</w:t>
            </w:r>
            <w:r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货时间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JS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书店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供应商</w:t>
            </w:r>
          </w:p>
        </w:tc>
        <w:tc>
          <w:tcPr>
            <w:tcW w:w="1660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3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个</w:t>
            </w:r>
            <w:r>
              <w:rPr>
                <w:rFonts w:ascii="PingFangSC-Regular" w:eastAsia="PingFangSC-Regular" w:hAnsi="TrebuchetMS" w:cs="PingFangSC-Regular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内未销售的</w:t>
            </w:r>
            <w:r>
              <w:rPr>
                <w:rFonts w:ascii="PingFangSC-Regular" w:eastAsia="PingFangSC-Regular" w:hAnsi="TrebuchetMS" w:cs="PingFangSC-Regular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全部或部分图书</w:t>
            </w:r>
          </w:p>
        </w:tc>
      </w:tr>
      <w:tr w:rsidR="00151983" w:rsidTr="00151983"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其他书店订购单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名称，条码，数</w:t>
            </w:r>
            <w:r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，购买时间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其他书店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JS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书店</w:t>
            </w:r>
          </w:p>
        </w:tc>
        <w:tc>
          <w:tcPr>
            <w:tcW w:w="1660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</w:p>
        </w:tc>
      </w:tr>
      <w:tr w:rsidR="00151983" w:rsidTr="00151983"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零售客户订购单</w:t>
            </w:r>
          </w:p>
        </w:tc>
        <w:tc>
          <w:tcPr>
            <w:tcW w:w="1659" w:type="dxa"/>
          </w:tcPr>
          <w:p w:rsidR="00151983" w:rsidRDefault="00151983" w:rsidP="0015198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left"/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名称，条码，数</w:t>
            </w:r>
            <w:r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，</w:t>
            </w:r>
          </w:p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购买时间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零售客户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JS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书店</w:t>
            </w:r>
          </w:p>
        </w:tc>
        <w:tc>
          <w:tcPr>
            <w:tcW w:w="1660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</w:p>
        </w:tc>
      </w:tr>
      <w:tr w:rsidR="00151983" w:rsidTr="00151983"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零售、批发退货单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名称，条码，数</w:t>
            </w:r>
            <w:r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  <w:t xml:space="preserve">  </w:t>
            </w: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，够买时间，退</w:t>
            </w:r>
            <w:r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货时间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零售客户、其他书</w:t>
            </w:r>
            <w:r>
              <w:rPr>
                <w:rFonts w:ascii="PingFangSC-Regular" w:eastAsia="PingFangSC-Regular" w:cs="PingFangSC-Regular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PingFangSC-Regular" w:eastAsia="PingFangSC-Regular" w:cs="PingFangSC-Regular" w:hint="eastAsia"/>
                <w:color w:val="000000"/>
                <w:kern w:val="0"/>
                <w:sz w:val="22"/>
              </w:rPr>
              <w:t>店</w:t>
            </w:r>
          </w:p>
        </w:tc>
        <w:tc>
          <w:tcPr>
            <w:tcW w:w="1659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JS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书店</w:t>
            </w:r>
          </w:p>
        </w:tc>
        <w:tc>
          <w:tcPr>
            <w:tcW w:w="1660" w:type="dxa"/>
          </w:tcPr>
          <w:p w:rsidR="00151983" w:rsidRDefault="00151983" w:rsidP="00151983">
            <w:pPr>
              <w:jc w:val="center"/>
              <w:rPr>
                <w:rFonts w:hint="eastAsia"/>
              </w:rPr>
            </w:pPr>
            <w:r>
              <w:rPr>
                <w:rFonts w:ascii="TrebuchetMS" w:hAnsi="TrebuchetMS" w:cs="TrebuchetMS"/>
                <w:color w:val="000000"/>
                <w:kern w:val="0"/>
                <w:sz w:val="22"/>
              </w:rPr>
              <w:t>3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个</w:t>
            </w:r>
            <w:r>
              <w:rPr>
                <w:rFonts w:ascii="PingFangSC-Regular" w:eastAsia="PingFangSC-Regular" w:hAnsi="TrebuchetMS" w:cs="PingFangSC-Regular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内可全部或</w:t>
            </w:r>
            <w:r>
              <w:rPr>
                <w:rFonts w:ascii="PingFangSC-Regular" w:eastAsia="PingFangSC-Regular" w:hAnsi="TrebuchetMS" w:cs="PingFangSC-Regular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PingFangSC-Regular" w:eastAsia="PingFangSC-Regular" w:hAnsi="TrebuchetMS" w:cs="PingFangSC-Regular" w:hint="eastAsia"/>
                <w:color w:val="000000"/>
                <w:kern w:val="0"/>
                <w:sz w:val="22"/>
              </w:rPr>
              <w:t>部分退货</w:t>
            </w:r>
          </w:p>
        </w:tc>
      </w:tr>
    </w:tbl>
    <w:p w:rsidR="00151983" w:rsidRDefault="00151983" w:rsidP="00151983">
      <w:pPr>
        <w:jc w:val="center"/>
        <w:rPr>
          <w:rFonts w:hint="eastAsia"/>
        </w:rPr>
      </w:pPr>
    </w:p>
    <w:p w:rsidR="00151983" w:rsidRDefault="00151983" w:rsidP="00151983">
      <w:r w:rsidRPr="00151983">
        <w:lastRenderedPageBreak/>
        <w:drawing>
          <wp:inline distT="0" distB="0" distL="0" distR="0" wp14:anchorId="4492180C" wp14:editId="7AE96B63">
            <wp:extent cx="5274310" cy="37820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A76" w:rsidRDefault="00181A76" w:rsidP="00151983"/>
    <w:p w:rsidR="00181A76" w:rsidRDefault="00181A76" w:rsidP="00151983"/>
    <w:p w:rsidR="00181A76" w:rsidRDefault="00181A76" w:rsidP="00151983"/>
    <w:p w:rsidR="00181A76" w:rsidRDefault="00181A76" w:rsidP="00181A76">
      <w:pPr>
        <w:autoSpaceDE w:val="0"/>
        <w:autoSpaceDN w:val="0"/>
        <w:adjustRightInd w:val="0"/>
        <w:rPr>
          <w:rFonts w:ascii="Helvetica-Bold" w:eastAsia="PingFangTC-Regular" w:hAnsi="Helvetica-Bold" w:cs="Helvetica-Bold"/>
          <w:b/>
          <w:bCs/>
          <w:color w:val="000000"/>
          <w:kern w:val="0"/>
          <w:sz w:val="28"/>
          <w:szCs w:val="28"/>
        </w:rPr>
      </w:pPr>
      <w:r>
        <w:rPr>
          <w:rFonts w:ascii="Helvetica-Bold" w:hAnsi="Helvetica-Bold" w:cs="Helvetica-Bold"/>
          <w:b/>
          <w:bCs/>
          <w:color w:val="000000"/>
          <w:kern w:val="0"/>
          <w:sz w:val="28"/>
          <w:szCs w:val="28"/>
        </w:rPr>
        <w:t>5.6</w:t>
      </w:r>
      <w:r>
        <w:rPr>
          <w:rFonts w:ascii="PingFangTC-Regular" w:eastAsia="PingFangTC-Regular" w:hAnsi="Helvetica-Bold" w:cs="PingFangTC-Regular" w:hint="eastAsia"/>
          <w:b/>
          <w:bCs/>
          <w:color w:val="000000"/>
          <w:kern w:val="0"/>
          <w:sz w:val="28"/>
          <w:szCs w:val="28"/>
        </w:rPr>
        <w:t>结构图</w:t>
      </w:r>
      <w:r>
        <w:rPr>
          <w:rFonts w:ascii="Helvetica-Bold" w:eastAsia="PingFangTC-Regular" w:hAnsi="Helvetica-Bold" w:cs="Helvetica-Bold"/>
          <w:b/>
          <w:bCs/>
          <w:color w:val="000000"/>
          <w:kern w:val="0"/>
          <w:sz w:val="28"/>
          <w:szCs w:val="28"/>
        </w:rPr>
        <w:tab/>
      </w:r>
    </w:p>
    <w:p w:rsidR="00181A76" w:rsidRDefault="00181A76" w:rsidP="00181A76">
      <w:pPr>
        <w:autoSpaceDE w:val="0"/>
        <w:autoSpaceDN w:val="0"/>
        <w:adjustRightInd w:val="0"/>
        <w:rPr>
          <w:rFonts w:ascii="Helvetica-Bold" w:eastAsia="PingFangSC-Regular" w:hAnsi="Helvetica-Bold" w:cs="Helvetica-Bold"/>
          <w:b/>
          <w:bCs/>
          <w:color w:val="000000"/>
          <w:kern w:val="0"/>
          <w:sz w:val="24"/>
          <w:szCs w:val="24"/>
        </w:rPr>
      </w:pPr>
      <w:r>
        <w:rPr>
          <w:rFonts w:ascii="PingFangSC-Regular" w:eastAsia="PingFangSC-Regular" w:hAnsi="Helvetica-Bold" w:cs="PingFangSC-Regular" w:hint="eastAsia"/>
          <w:b/>
          <w:bCs/>
          <w:color w:val="000000"/>
          <w:kern w:val="0"/>
          <w:sz w:val="24"/>
          <w:szCs w:val="24"/>
        </w:rPr>
        <w:t>（</w:t>
      </w:r>
      <w:r>
        <w:rPr>
          <w:rFonts w:ascii="Helvetica-Bold" w:eastAsia="PingFangSC-Regular" w:hAnsi="Helvetica-Bold" w:cs="Helvetica-Bold"/>
          <w:b/>
          <w:bCs/>
          <w:color w:val="000000"/>
          <w:kern w:val="0"/>
          <w:sz w:val="24"/>
          <w:szCs w:val="24"/>
        </w:rPr>
        <w:t>1</w:t>
      </w:r>
      <w:r>
        <w:rPr>
          <w:rFonts w:ascii="PingFangSC-Regular" w:eastAsia="PingFangSC-Regular" w:hAnsi="Helvetica-Bold" w:cs="PingFangSC-Regular" w:hint="eastAsia"/>
          <w:b/>
          <w:bCs/>
          <w:color w:val="000000"/>
          <w:kern w:val="0"/>
          <w:sz w:val="24"/>
          <w:szCs w:val="24"/>
        </w:rPr>
        <w:t>）图书管理系统结构图</w:t>
      </w:r>
    </w:p>
    <w:p w:rsidR="00181A76" w:rsidRDefault="00181A76" w:rsidP="00181A76">
      <w:pPr>
        <w:autoSpaceDE w:val="0"/>
        <w:autoSpaceDN w:val="0"/>
        <w:adjustRightInd w:val="0"/>
        <w:rPr>
          <w:rFonts w:ascii="Helvetica" w:eastAsia="PingFangSC-Regular" w:hAnsi="Helvetica" w:cs="Helvetica"/>
          <w:color w:val="000000"/>
          <w:kern w:val="0"/>
          <w:szCs w:val="21"/>
        </w:rPr>
      </w:pPr>
      <w:r>
        <w:rPr>
          <w:rFonts w:ascii="Helvetica" w:eastAsia="PingFangSC-Regular" w:hAnsi="Helvetica" w:cs="Helvetica"/>
          <w:color w:val="000000"/>
          <w:kern w:val="0"/>
          <w:szCs w:val="21"/>
        </w:rPr>
        <w:t xml:space="preserve"> </w:t>
      </w:r>
      <w:r w:rsidR="00A715C4">
        <w:rPr>
          <w:noProof/>
        </w:rPr>
        <w:drawing>
          <wp:inline distT="0" distB="0" distL="0" distR="0">
            <wp:extent cx="5271770" cy="3117215"/>
            <wp:effectExtent l="0" t="0" r="0" b="6985"/>
            <wp:docPr id="20" name="图片 20" descr="JS图书管理系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S图书管理系统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A76" w:rsidRDefault="00181A76" w:rsidP="00181A76">
      <w:pPr>
        <w:autoSpaceDE w:val="0"/>
        <w:autoSpaceDN w:val="0"/>
        <w:adjustRightInd w:val="0"/>
        <w:rPr>
          <w:rFonts w:ascii="Helvetica" w:eastAsia="PingFangSC-Regular" w:hAnsi="Helvetica" w:cs="Helvetica"/>
          <w:color w:val="000000"/>
          <w:kern w:val="0"/>
          <w:szCs w:val="21"/>
        </w:rPr>
      </w:pPr>
    </w:p>
    <w:p w:rsidR="00181A76" w:rsidRDefault="00181A76" w:rsidP="00181A76">
      <w:pPr>
        <w:autoSpaceDE w:val="0"/>
        <w:autoSpaceDN w:val="0"/>
        <w:adjustRightInd w:val="0"/>
        <w:rPr>
          <w:rFonts w:ascii="Helvetica-Bold" w:eastAsia="PingFangSC-Regular" w:hAnsi="Helvetica-Bold" w:cs="Helvetica-Bold"/>
          <w:b/>
          <w:bCs/>
          <w:color w:val="000000"/>
          <w:kern w:val="0"/>
          <w:sz w:val="24"/>
          <w:szCs w:val="24"/>
        </w:rPr>
      </w:pPr>
      <w:r>
        <w:rPr>
          <w:rFonts w:ascii="PingFangSC-Regular" w:eastAsia="PingFangSC-Regular" w:hAnsi="Helvetica" w:cs="PingFangSC-Regular" w:hint="eastAsia"/>
          <w:b/>
          <w:bCs/>
          <w:color w:val="000000"/>
          <w:kern w:val="0"/>
          <w:sz w:val="24"/>
          <w:szCs w:val="24"/>
        </w:rPr>
        <w:t>（</w:t>
      </w:r>
      <w:r>
        <w:rPr>
          <w:rFonts w:ascii="Helvetica-Bold" w:eastAsia="PingFangSC-Regular" w:hAnsi="Helvetica-Bold" w:cs="Helvetica-Bold"/>
          <w:b/>
          <w:bCs/>
          <w:color w:val="000000"/>
          <w:kern w:val="0"/>
          <w:sz w:val="24"/>
          <w:szCs w:val="24"/>
        </w:rPr>
        <w:t>2</w:t>
      </w:r>
      <w:r>
        <w:rPr>
          <w:rFonts w:ascii="PingFangSC-Regular" w:eastAsia="PingFangSC-Regular" w:hAnsi="Helvetica-Bold" w:cs="PingFangSC-Regular" w:hint="eastAsia"/>
          <w:b/>
          <w:bCs/>
          <w:color w:val="000000"/>
          <w:kern w:val="0"/>
          <w:sz w:val="24"/>
          <w:szCs w:val="24"/>
        </w:rPr>
        <w:t>）图书管理系统结构图的第一次改进</w:t>
      </w:r>
    </w:p>
    <w:p w:rsidR="00181A76" w:rsidRDefault="00181A76" w:rsidP="00181A76">
      <w:pPr>
        <w:autoSpaceDE w:val="0"/>
        <w:autoSpaceDN w:val="0"/>
        <w:adjustRightInd w:val="0"/>
        <w:rPr>
          <w:rFonts w:ascii="Helvetica" w:eastAsia="PingFangSC-Regular" w:hAnsi="Helvetica" w:cs="Helvetica"/>
          <w:color w:val="000000"/>
          <w:kern w:val="0"/>
          <w:szCs w:val="21"/>
        </w:rPr>
      </w:pPr>
    </w:p>
    <w:p w:rsidR="00181A76" w:rsidRPr="00181A76" w:rsidRDefault="00A715C4" w:rsidP="00181A76">
      <w:pPr>
        <w:rPr>
          <w:rFonts w:hint="eastAsia"/>
        </w:rPr>
      </w:pPr>
      <w:bookmarkStart w:id="0" w:name="_GoBack"/>
      <w:r w:rsidRPr="00A715C4">
        <w:drawing>
          <wp:inline distT="0" distB="0" distL="0" distR="0" wp14:anchorId="5C50433F" wp14:editId="6D585808">
            <wp:extent cx="5274310" cy="398526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81A76" w:rsidRPr="00181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71C5" w:rsidRDefault="00B671C5" w:rsidP="00351655">
      <w:r>
        <w:separator/>
      </w:r>
    </w:p>
  </w:endnote>
  <w:endnote w:type="continuationSeparator" w:id="0">
    <w:p w:rsidR="00B671C5" w:rsidRDefault="00B671C5" w:rsidP="00351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SC-Regular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rebuchetMS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TC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71C5" w:rsidRDefault="00B671C5" w:rsidP="00351655">
      <w:r>
        <w:separator/>
      </w:r>
    </w:p>
  </w:footnote>
  <w:footnote w:type="continuationSeparator" w:id="0">
    <w:p w:rsidR="00B671C5" w:rsidRDefault="00B671C5" w:rsidP="00351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435"/>
    <w:rsid w:val="0002798A"/>
    <w:rsid w:val="00151983"/>
    <w:rsid w:val="00181A76"/>
    <w:rsid w:val="001D477B"/>
    <w:rsid w:val="00351655"/>
    <w:rsid w:val="00A715C4"/>
    <w:rsid w:val="00B671C5"/>
    <w:rsid w:val="00E2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B9B44"/>
  <w15:chartTrackingRefBased/>
  <w15:docId w15:val="{FF44F008-0605-49AD-AEF3-1B35F8F6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655"/>
    <w:rPr>
      <w:sz w:val="18"/>
      <w:szCs w:val="18"/>
    </w:rPr>
  </w:style>
  <w:style w:type="paragraph" w:styleId="a7">
    <w:name w:val="No Spacing"/>
    <w:uiPriority w:val="1"/>
    <w:qFormat/>
    <w:rsid w:val="00351655"/>
    <w:pPr>
      <w:widowControl w:val="0"/>
      <w:jc w:val="both"/>
    </w:pPr>
  </w:style>
  <w:style w:type="table" w:styleId="a8">
    <w:name w:val="Table Grid"/>
    <w:basedOn w:val="a1"/>
    <w:uiPriority w:val="39"/>
    <w:rsid w:val="001519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李浩泽</dc:creator>
  <cp:keywords/>
  <dc:description/>
  <cp:lastModifiedBy>李浩泽</cp:lastModifiedBy>
  <cp:revision>2</cp:revision>
  <dcterms:created xsi:type="dcterms:W3CDTF">2017-04-11T09:14:00Z</dcterms:created>
  <dcterms:modified xsi:type="dcterms:W3CDTF">2017-04-11T09:50:00Z</dcterms:modified>
</cp:coreProperties>
</file>