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Transition standard TS 04</w:t>
      </w:r>
    </w:p>
    <w:p>
      <w:r>
        <w:t>FICTIONAL COMPANY DATA. Version 4, 15 September 2026. Approved by Operations Director for proposal use. Owner: Transition Director. Entity: Alder Services Hong Kong. Scope: Hong Kong managed workplace services.</w:t>
      </w:r>
    </w:p>
    <w:p>
      <w:r>
        <w:t>The approved standard is 20 working days from receipt of an agreed asset register and client access permissions. Days 1-5 validate assets and risks; days 6-15 transfer work orders and train staff; days 16-20 test readiness and agree handover.</w:t>
      </w:r>
    </w:p>
    <w:p>
      <w:r>
        <w:t>The Transition Director is accountable. For issue management, escalation and handover controls, follow the controlled Annex A in annex-a-controls.pdf in this company folder. Those arrangements are not restated here.</w:t>
      </w:r>
    </w:p>
    <w:p>
      <w:r>
        <w:t>This is an approved standard approach, not a tender-specific staffing allocation, unconditional start date or guarantee of uninterrupted service.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Transition standard TS 04</dc:title>
  <dc:subject/>
  <dc:creator>Fictional evaluation material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