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Alder Services tender response</w:t>
      </w:r>
    </w:p>
    <w:p>
      <w:pPr>
        <w:pStyle w:val="Heading1"/>
      </w:pPr>
      <w:r>
        <w:t>Q1 Mobilisation</w:t>
      </w:r>
    </w:p>
    <w:p>
      <w:r>
        <w:t>[Insert response]</w:t>
      </w:r>
    </w:p>
    <w:p>
      <w:pPr>
        <w:pStyle w:val="Heading1"/>
      </w:pPr>
      <w:r>
        <w:t>Q2 Comparable delivery</w:t>
      </w:r>
    </w:p>
    <w:p>
      <w:r>
        <w:t>[Insert response]</w:t>
      </w:r>
    </w:p>
    <w:p>
      <w:pPr>
        <w:pStyle w:val="Heading1"/>
      </w:pPr>
      <w:r>
        <w:t>Q3 Certification</w:t>
      </w:r>
    </w:p>
    <w:p>
      <w:r>
        <w:t>[Insert response]</w:t>
      </w:r>
    </w:p>
    <w:p>
      <w:pPr>
        <w:pStyle w:val="Heading1"/>
      </w:pPr>
      <w:r>
        <w:t>Q4 Service delivery narrative</w:t>
      </w:r>
    </w:p>
    <w:p>
      <w:pPr>
        <w:pStyle w:val="Heading2"/>
      </w:pPr>
      <w:r>
        <w:t>Continuity approach</w:t>
      </w:r>
    </w:p>
    <w:p>
      <w:r>
        <w:t>[Insert response]</w:t>
      </w:r>
    </w:p>
    <w:p>
      <w:pPr>
        <w:pStyle w:val="Heading2"/>
      </w:pPr>
      <w:r>
        <w:t>Governance</w:t>
      </w:r>
    </w:p>
    <w:p>
      <w:r>
        <w:t>[Insert response]</w:t>
      </w:r>
    </w:p>
    <w:p>
      <w:pPr>
        <w:pStyle w:val="Heading2"/>
      </w:pPr>
      <w:r>
        <w:t>Monitoring and dependencies</w:t>
      </w:r>
    </w:p>
    <w:p>
      <w:r>
        <w:t>[Insert response]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Alder Services tender response</dc:title>
  <dc:subject/>
  <dc:creator>Fictional evaluation material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