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Fictional tender instructions</w:t>
      </w:r>
    </w:p>
    <w:p>
      <w:r>
        <w:t>This assessment is fictional. Buyer: a Hong Kong office operator procuring managed workplace services. Priority: an orderly transition protecting service continuity. Use only the company evidence folder supplied with this pack.</w:t>
      </w:r>
    </w:p>
    <w:p>
      <w:r>
        <w:t>Use response-template.docx without changing its A4 page size, 25 mm margins, Arial 11 body font or single line spacing. The complete response has a maximum of three pages, including title and headings. Do not shrink text to fit. All answers must be independently complete; cross-references do not replace required content.</w:t>
      </w:r>
    </w:p>
    <w:p>
      <w:r>
        <w:t>Q1 Mobilisation: maximum 75 whitespace-separated words, excluding the Q1 heading. Explain timetable and dependencies, accountable lead, and escalation. Weight: 20%.</w:t>
      </w:r>
    </w:p>
    <w:p>
      <w:r>
        <w:t>Q2 Comparable delivery: maximum 100 whitespace-separated words, excluding the Q2 heading. Give one relevant delivered example, its measured outcome, acceptance and limits of comparability. Weight: 20%.</w:t>
      </w:r>
    </w:p>
    <w:p>
      <w:r>
        <w:t>Q3 Certification: maximum 500 UTF-16 code units including spaces and the Status label, excluding the Q3 heading. Use the exact field form 'Status: Yes' or 'Status: No', followed by a brief explanation. State whether Alder Services Hong Kong is currently ISO 27001 certified. This is a mandatory pass/fail question; a No answer is not compliant, even when truthful.</w:t>
      </w:r>
    </w:p>
    <w:p>
      <w:r>
        <w:t>Q4 Service delivery narrative: maximum 650 whitespace-separated words including the three subheadings. Under Continuity approach; Governance; Monitoring and dependencies, explain the proposed delivery method and its benefit to this buyer, why company evidence supports it, how readiness and issues are controlled, and dependencies or approvals still needed. Weight: 60%. Do not add an emergency response SLA or a guaranteed uninterrupted-service promise without evidence.</w:t>
      </w:r>
    </w:p>
    <w:p>
      <w:r>
        <w:t>Save clean client answers in a completed response-template.docx, plus separate answer-only text files for each Q1-Q4 field. Keep internal evidence/search review outside the client document. Where facts or constraints remain unresolved, identify the response as a working draft in the separate review. Measure each field and inspect the rendered final document.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Fictional tender instructions</dc:title>
  <dc:subject/>
  <dc:creator>Fictional evaluation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