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yungju-lee"/>
    <w:p>
      <w:pPr>
        <w:pStyle w:val="Heading1"/>
      </w:pPr>
      <w:r>
        <w:t xml:space="preserve">Hyungju Lee</w:t>
      </w:r>
    </w:p>
    <w:p>
      <w:pPr>
        <w:pStyle w:val="FirstParagraph"/>
      </w:pPr>
      <w:r>
        <w:t xml:space="preserve">Toronto, Canada | +1 (416) 706-8011 | leehyungju9297@gmail.com</w:t>
      </w:r>
      <w:r>
        <w:t xml:space="preserve"> </w:t>
      </w:r>
      <w:r>
        <w:t xml:space="preserve">LinkedIn: https://www.linkedin.com/in/hyungju9297/ | Website: https://leehyungju9297.github.io/dash_cv/</w:t>
      </w:r>
    </w:p>
    <w:p>
      <w:pPr>
        <w:pStyle w:val="BodyText"/>
      </w:pPr>
      <w:r>
        <w:t xml:space="preserve">PRODUCT DATA SCIENTIST | PRODUCT ANALYTICS | MONETIZATION &amp; SUBSCRIPTION ANALYTICS</w: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Compact"/>
        <w:numPr>
          <w:ilvl w:val="0"/>
          <w:numId w:val="1001"/>
        </w:numPr>
      </w:pPr>
      <w:r>
        <w:t xml:space="preserve">Product Data Scientist with 6 years of experience translating large-scale behavioral data into KPI frameworks, operational dashboards, and executive decision support across engagement, retention, churn, and revenue.</w:t>
      </w:r>
    </w:p>
    <w:p>
      <w:pPr>
        <w:pStyle w:val="Compact"/>
        <w:numPr>
          <w:ilvl w:val="0"/>
          <w:numId w:val="1001"/>
        </w:numPr>
      </w:pPr>
      <w:r>
        <w:t xml:space="preserve">Built production SQL/Python analytics pipelines spanning 6.65M+ sessions and 5.64B session-minutes across a 138-client app ecosystem.</w:t>
      </w:r>
    </w:p>
    <w:p>
      <w:pPr>
        <w:pStyle w:val="Compact"/>
        <w:numPr>
          <w:ilvl w:val="0"/>
          <w:numId w:val="1001"/>
        </w:numPr>
      </w:pPr>
      <w:r>
        <w:t xml:space="preserve">Specialized in impact evaluation via quasi-experimental and pre/post methods, cohort analysis, segmentation, and monetization reporting across subscription and in-app purchase revenue.</w: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SQL, Python, 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Analytics:</w:t>
      </w:r>
      <w:r>
        <w:t xml:space="preserve"> </w:t>
      </w:r>
      <w:r>
        <w:t xml:space="preserve">KPI frameworks, Success metrics, Cohort analysis, Segmentation, Retention and churn analytics, Monetization analytics, Subscription analytics, Executive reporting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Impact evaluation, Quasi-experimental analysis, Pre/post analysis, Statistical analysis, Exploratory data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 Systems:</w:t>
      </w:r>
      <w:r>
        <w:t xml:space="preserve"> </w:t>
      </w:r>
      <w:r>
        <w:t xml:space="preserve">Analytics pipelines, Scheduled workflows, Dashboarding (Dash/Plotly), Data quality monitoring, Metric definitions/contracts, Data modeling</w:t>
      </w:r>
    </w:p>
    <w:bookmarkEnd w:id="10"/>
    <w:bookmarkStart w:id="14" w:name="experience"/>
    <w:p>
      <w:pPr>
        <w:pStyle w:val="Heading2"/>
      </w:pPr>
      <w:r>
        <w:t xml:space="preserve">Experience</w:t>
      </w:r>
    </w:p>
    <w:bookmarkStart w:id="11" w:name="X16cd492c190c820b74a6b787a2bf1e1b135e35a"/>
    <w:p>
      <w:pPr>
        <w:pStyle w:val="Heading3"/>
      </w:pPr>
      <w:r>
        <w:t xml:space="preserve">MySeat Media | Product Data Scientist / Software Engineer, Analytics | Toronto, Canada</w:t>
      </w:r>
    </w:p>
    <w:p>
      <w:pPr>
        <w:pStyle w:val="FirstParagraph"/>
      </w:pPr>
      <w:r>
        <w:t xml:space="preserve">2023 - Present</w:t>
      </w:r>
      <w:r>
        <w:t xml:space="preserve"> </w:t>
      </w:r>
      <w:r>
        <w:t xml:space="preserve">- Built and standardized KPI frameworks spanning engagement, retention, churn, livestream activity, and revenue across a 138-client app ecosystem, enabling shared performance decisions across product, growth, and leadership.</w:t>
      </w:r>
      <w:r>
        <w:t xml:space="preserve"> </w:t>
      </w:r>
      <w:r>
        <w:t xml:space="preserve">- Productionized SQL/Python analytics pipelines covering 6.65M+ sessions and 5.64B session-minutes to support release-cycle diagnostics and behavioral trend analysis.</w:t>
      </w:r>
      <w:r>
        <w:t xml:space="preserve"> </w:t>
      </w:r>
      <w:r>
        <w:t xml:space="preserve">- Unified longitudinal analytics across 138 clients over a 6-year window (369K+ represented users), enabling cross-client benchmarking and planning discussions.</w:t>
      </w:r>
      <w:r>
        <w:t xml:space="preserve"> </w:t>
      </w:r>
      <w:r>
        <w:t xml:space="preserve">- Led monetization reporting across $733K+ in subscription and in-app purchase revenue, linking revenue movement to membership and acquisition signals.</w:t>
      </w:r>
      <w:r>
        <w:t xml:space="preserve"> </w:t>
      </w:r>
      <w:r>
        <w:t xml:space="preserve">- Quantified intervention impact across notifications, livestreams, content, and auction changes using quasi-experimental and pre/post methods to support rollout and iteration decisions.</w:t>
      </w:r>
      <w:r>
        <w:t xml:space="preserve"> </w:t>
      </w:r>
      <w:r>
        <w:t xml:space="preserve">- Built executive dashboards and KPI operating reviews across daily active users (DAU), monthly active users (MAU), churn, engagement, and revenue to improve decision cadence and root-cause alignment.</w:t>
      </w:r>
    </w:p>
    <w:bookmarkEnd w:id="11"/>
    <w:bookmarkStart w:id="12" w:name="ausm-lab-researcher-toronto-canada"/>
    <w:p>
      <w:pPr>
        <w:pStyle w:val="Heading3"/>
      </w:pPr>
      <w:r>
        <w:t xml:space="preserve">AUSM Lab | Researcher | Toronto, Canada</w:t>
      </w:r>
    </w:p>
    <w:p>
      <w:pPr>
        <w:pStyle w:val="FirstParagraph"/>
      </w:pPr>
      <w:r>
        <w:t xml:space="preserve">2019 - 2024 (Concurrent Research)</w:t>
      </w:r>
      <w:r>
        <w:t xml:space="preserve"> </w:t>
      </w:r>
      <w:r>
        <w:t xml:space="preserve">- Built reproducible LiDAR dataset and benchmark pipelines to resolve inconsistent evaluation practices, enabling publication-ready experiments and peer-reviewed outputs.</w:t>
      </w:r>
      <w:r>
        <w:t xml:space="preserve"> </w:t>
      </w:r>
      <w:r>
        <w:t xml:space="preserve">- Produced 5,000+ single-tree benchmark annotations and co-authored peer-reviewed papers at ICPR 2022 and ISPRS 2023.</w:t>
      </w:r>
    </w:p>
    <w:bookmarkEnd w:id="12"/>
    <w:bookmarkStart w:id="13" w:name="X710f4b9b2708553d1eac95348e20904aca23538"/>
    <w:p>
      <w:pPr>
        <w:pStyle w:val="Heading3"/>
      </w:pPr>
      <w:r>
        <w:t xml:space="preserve">Ontario Ministry of Natural Resources and Forestry | Financial Analyst | Peterborough, Canada</w:t>
      </w:r>
    </w:p>
    <w:p>
      <w:pPr>
        <w:pStyle w:val="FirstParagraph"/>
      </w:pPr>
      <w:r>
        <w:t xml:space="preserve">2017 - 2018</w:t>
      </w:r>
      <w:r>
        <w:t xml:space="preserve"> </w:t>
      </w:r>
      <w:r>
        <w:t xml:space="preserve">- Built Oracle-based financial reporting workflows to standardize recurring monthly reporting across offices.</w:t>
      </w:r>
      <w:r>
        <w:t xml:space="preserve"> </w:t>
      </w:r>
      <w:r>
        <w:t xml:space="preserve">- Defined reporting guidance and trained project teams to improve adoption and interpretation of financial performance outputs.</w:t>
      </w:r>
    </w:p>
    <w:bookmarkEnd w:id="13"/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M.E.Sc., Earth and Space Science &amp; Engineering</w:t>
      </w:r>
      <w:r>
        <w:t xml:space="preserve">, York University (2020 - 2022) | Best Master’s Thesis Award (2022)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H.B.Sc., Statistics (Quantitative Finance Stream)</w:t>
      </w:r>
      <w:r>
        <w:t xml:space="preserve">, University of Toronto (2015 - 2020)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2026-03-14T02:05:24Z</dcterms:created>
  <dcterms:modified xsi:type="dcterms:W3CDTF">2026-03-14T02:05:24Z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