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Times New Roman" w:hAnsi="Times New Roman" w:eastAsia="HY신명조"/>
          <w:b/>
          <w:i w:val="0"/>
          <w:sz w:val="26"/>
        </w:rPr>
        <w:t>저비용 분류기와 대형 언어 모델의 선택적 결합을 통한</w:t>
      </w:r>
    </w:p>
    <w:p>
      <w:pPr>
        <w:autoSpaceDE w:val="0"/>
        <w:autoSpaceDN w:val="0"/>
        <w:spacing w:after="0"/>
        <w:jc w:val="center"/>
      </w:pPr>
      <w:r>
        <w:rPr>
          <w:rFonts w:ascii="Times New Roman" w:hAnsi="Times New Roman" w:eastAsia="HY신명조"/>
          <w:b/>
          <w:i w:val="0"/>
          <w:sz w:val="26"/>
        </w:rPr>
        <w:t>팩트체크 필요성 탐지</w:t>
      </w:r>
    </w:p>
    <w:p>
      <w:pPr>
        <w:autoSpaceDE w:val="0"/>
        <w:autoSpaceDN w:val="0"/>
        <w:spacing w:after="0" w:before="152"/>
        <w:jc w:val="center"/>
      </w:pPr>
      <w:r>
        <w:rPr>
          <w:rFonts w:ascii="Times New Roman" w:hAnsi="Times New Roman" w:eastAsia="HY신명조"/>
          <w:b w:val="0"/>
          <w:i w:val="0"/>
          <w:sz w:val="22"/>
        </w:rPr>
        <w:t>이정빈</w:t>
      </w:r>
    </w:p>
    <w:p>
      <w:pPr>
        <w:autoSpaceDE w:val="0"/>
        <w:autoSpaceDN w:val="0"/>
        <w:spacing w:after="0"/>
        <w:jc w:val="center"/>
      </w:pPr>
      <w:r>
        <w:rPr>
          <w:rFonts w:ascii="Times New Roman" w:hAnsi="Times New Roman" w:eastAsia="HY신명조"/>
          <w:b w:val="0"/>
          <w:i w:val="0"/>
          <w:sz w:val="22"/>
        </w:rPr>
        <w:t>(소속 입력 필요)</w:t>
      </w:r>
    </w:p>
    <w:p>
      <w:pPr>
        <w:autoSpaceDE w:val="0"/>
        <w:autoSpaceDN w:val="0"/>
        <w:spacing w:after="152"/>
        <w:jc w:val="center"/>
      </w:pPr>
      <w:r>
        <w:rPr>
          <w:rFonts w:ascii="Times New Roman" w:hAnsi="Times New Roman" w:eastAsia="HY신명조"/>
          <w:b w:val="0"/>
          <w:i w:val="0"/>
          <w:sz w:val="22"/>
        </w:rPr>
        <w:t>leejb020313@gmail.com</w:t>
      </w:r>
    </w:p>
    <w:p>
      <w:pPr>
        <w:autoSpaceDE w:val="0"/>
        <w:autoSpaceDN w:val="0"/>
        <w:spacing w:after="0"/>
        <w:jc w:val="center"/>
      </w:pPr>
      <w:r>
        <w:rPr>
          <w:rFonts w:ascii="Times New Roman" w:hAnsi="Times New Roman" w:eastAsia="HY신명조"/>
          <w:b/>
          <w:i w:val="0"/>
          <w:sz w:val="26"/>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0" w:before="284"/>
        <w:jc w:val="center"/>
      </w:pPr>
      <w:r>
        <w:rPr>
          <w:rFonts w:ascii="Times New Roman" w:hAnsi="Times New Roman" w:eastAsia="HY신명조"/>
          <w:b w:val="0"/>
          <w:i w:val="0"/>
          <w:sz w:val="22"/>
        </w:rPr>
        <w:t>Jeongbin Lee</w:t>
      </w:r>
    </w:p>
    <w:p>
      <w:pPr>
        <w:autoSpaceDE w:val="0"/>
        <w:autoSpaceDN w:val="0"/>
        <w:spacing w:after="284"/>
        <w:jc w:val="center"/>
      </w:pPr>
      <w:r>
        <w:rPr>
          <w:rFonts w:ascii="Times New Roman" w:hAnsi="Times New Roman" w:eastAsia="HY신명조"/>
          <w:b w:val="0"/>
          <w:i w:val="0"/>
          <w:sz w:val="22"/>
        </w:rPr>
        <w:t>(Affiliation)</w:t>
      </w:r>
    </w:p>
    <w:p>
      <w:pPr>
        <w:autoSpaceDE w:val="0"/>
        <w:autoSpaceDN w:val="0"/>
        <w:spacing w:after="60"/>
        <w:jc w:val="center"/>
      </w:pPr>
      <w:r>
        <w:rPr>
          <w:rFonts w:ascii="Times New Roman" w:hAnsi="Times New Roman" w:eastAsia="HY신명조"/>
          <w:b w:val="0"/>
          <w:i w:val="0"/>
          <w:sz w:val="22"/>
        </w:rPr>
        <w:t>요 약</w:t>
      </w:r>
    </w:p>
    <w:p>
      <w:pPr>
        <w:autoSpaceDE w:val="0"/>
        <w:autoSpaceDN w:val="0"/>
        <w:spacing w:after="50" w:line="240" w:lineRule="auto"/>
        <w:ind w:firstLine="283"/>
        <w:jc w:val="both"/>
      </w:pPr>
      <w:r>
        <w:rPr>
          <w:rFonts w:ascii="Times New Roman" w:hAnsi="Times New Roman" w:eastAsia="HY신명조"/>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850" w:right="850" w:bottom="850" w:left="850" w:header="720" w:footer="720" w:gutter="0"/>
          <w:cols w:space="720"/>
          <w:docGrid w:linePitch="360"/>
        </w:sectPr>
      </w:pPr>
    </w:p>
    <w:p>
      <w:pPr>
        <w:keepNext/>
        <w:autoSpaceDE w:val="0"/>
        <w:autoSpaceDN w:val="0"/>
        <w:spacing w:before="120" w:after="95"/>
      </w:pPr>
      <w:r>
        <w:rPr>
          <w:rFonts w:ascii="Times New Roman" w:hAnsi="Times New Roman" w:eastAsia="HY신명조"/>
          <w:b/>
          <w:i w:val="0"/>
          <w:sz w:val="18"/>
        </w:rPr>
        <w:t>Ⅰ. 서 론</w:t>
      </w:r>
    </w:p>
    <w:p>
      <w:pPr>
        <w:autoSpaceDE w:val="0"/>
        <w:autoSpaceDN w:val="0"/>
        <w:spacing w:after="50" w:line="240" w:lineRule="auto"/>
        <w:ind w:firstLine="180"/>
        <w:jc w:val="both"/>
      </w:pPr>
      <w:r>
        <w:rPr>
          <w:rFonts w:ascii="Times New Roman" w:hAnsi="Times New Roman" w:eastAsia="HY신명조"/>
          <w:b w:val="0"/>
          <w:i w:val="0"/>
          <w:sz w:val="18"/>
        </w:rPr>
        <w:t xml:space="preserve">팩트체크 필요성 탐지는 유입되는 모든 문장에 적용되므로, 실제 팩트체크 서비스 운영사는 모든 문장에 LLM을 적용하는 것이 비현실적이라고 보고하였다[1]. NN</w:t>
        <w:noBreakHyphen/>
        <w:t xml:space="preserve">PPI[1]는 소형 LLM의 점수를 라벨이 있는 보정 세트 중 의미적으로 가까운 이웃의 잔차로 보정한다. 같은 연구진은 파인튜닝한 소형 인코더가 LLM과 경쟁할 수 있으나 관용적 표현에서는 LLM이 앞선다고 보고하고,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80"/>
        <w:jc w:val="both"/>
      </w:pPr>
      <w:r>
        <w:rPr>
          <w:rFonts w:ascii="Times New Roman" w:hAnsi="Times New Roman" w:eastAsia="HY신명조"/>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20" w:after="95"/>
      </w:pPr>
      <w:r>
        <w:rPr>
          <w:rFonts w:ascii="Times New Roman" w:hAnsi="Times New Roman" w:eastAsia="HY신명조"/>
          <w:b/>
          <w:i w:val="0"/>
          <w:sz w:val="18"/>
        </w:rPr>
        <w:t>Ⅱ. 제안 기법</w:t>
      </w:r>
    </w:p>
    <w:p>
      <w:pPr>
        <w:keepNext/>
        <w:autoSpaceDE w:val="0"/>
        <w:autoSpaceDN w:val="0"/>
        <w:spacing w:before="60" w:after="30"/>
      </w:pPr>
      <w:r>
        <w:rPr>
          <w:rFonts w:ascii="Times New Roman" w:hAnsi="Times New Roman" w:eastAsia="HY신명조"/>
          <w:b/>
          <w:i w:val="0"/>
          <w:sz w:val="18"/>
        </w:rPr>
        <w:t>2.1 저비용 분류기</w:t>
      </w:r>
    </w:p>
    <w:p>
      <w:pPr>
        <w:autoSpaceDE w:val="0"/>
        <w:autoSpaceDN w:val="0"/>
        <w:spacing w:after="50" w:line="240" w:lineRule="auto"/>
        <w:ind w:firstLine="180"/>
        <w:jc w:val="both"/>
      </w:pPr>
      <w:r>
        <w:rPr>
          <w:rFonts w:ascii="Times New Roman" w:hAnsi="Times New Roman" w:eastAsia="HY신명조"/>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Times New Roman" w:hAnsi="Times New Roman" w:eastAsia="HY신명조"/>
          <w:b/>
          <w:i w:val="0"/>
          <w:sz w:val="18"/>
        </w:rPr>
        <w:t>2.2 결합형 캐스케이드</w:t>
      </w:r>
    </w:p>
    <w:p>
      <w:pPr>
        <w:autoSpaceDE w:val="0"/>
        <w:autoSpaceDN w:val="0"/>
        <w:spacing w:after="50" w:line="240" w:lineRule="auto"/>
        <w:ind w:firstLine="180"/>
        <w:jc w:val="both"/>
      </w:pPr>
      <w:r>
        <w:rPr>
          <w:rFonts w:ascii="Times New Roman" w:hAnsi="Times New Roman" w:eastAsia="HY신명조"/>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655697" cy="798385"/>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655697" cy="798385"/>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1. 결합형 캐스케이드의 구조</w:t>
      </w:r>
    </w:p>
    <w:p>
      <w:pPr>
        <w:tabs>
          <w:tab w:pos="2374" w:val="center"/>
          <w:tab w:pos="4748" w:val="right"/>
        </w:tabs>
        <w:autoSpaceDE w:val="0"/>
        <w:autoSpaceDN w:val="0"/>
        <w:spacing w:before="40" w:after="60"/>
      </w:pPr>
      <w:r>
        <w:tab/>
      </w:r>
      <w:r>
        <w:rPr>
          <w:position w:val="-5"/>
        </w:rPr>
        <w:drawing>
          <wp:inline xmlns:a="http://schemas.openxmlformats.org/drawingml/2006/main" xmlns:pic="http://schemas.openxmlformats.org/drawingml/2006/picture">
            <wp:extent cx="1981733" cy="127544"/>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1981733" cy="127544"/>
                    </a:xfrm>
                    <a:prstGeom prst="rect"/>
                  </pic:spPr>
                </pic:pic>
              </a:graphicData>
            </a:graphic>
          </wp:inline>
        </w:drawing>
      </w:r>
      <w:r>
        <w:rPr>
          <w:rFonts w:ascii="Times New Roman" w:hAnsi="Times New Roman" w:eastAsia="HY신명조"/>
          <w:b w:val="0"/>
          <w:i w:val="0"/>
          <w:sz w:val="18"/>
        </w:rPr>
        <w:tab/>
        <w:t>(1)</w:t>
      </w:r>
    </w:p>
    <w:p>
      <w:pPr>
        <w:widowControl w:val="0"/>
        <w:autoSpaceDE w:val="0"/>
        <w:autoSpaceDN w:val="0"/>
        <w:spacing w:after="50" w:line="240" w:lineRule="auto"/>
        <w:ind w:firstLine="180"/>
        <w:jc w:val="both"/>
      </w:pPr>
      <w:r>
        <w:rPr>
          <w:rFonts w:ascii="Times New Roman" w:hAnsi="Times New Roman" w:eastAsia="HY신명조"/>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52819" cy="12689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52819" cy="126894"/>
                    </a:xfrm>
                    <a:prstGeom prst="rect"/>
                  </pic:spPr>
                </pic:pic>
              </a:graphicData>
            </a:graphic>
          </wp:inline>
        </w:drawing>
      </w:r>
      <w:r>
        <w:rPr>
          <w:rFonts w:ascii="Times New Roman" w:hAnsi="Times New Roman" w:eastAsia="HY신명조"/>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20" w:after="95"/>
      </w:pPr>
      <w:r>
        <w:rPr>
          <w:rFonts w:ascii="Times New Roman" w:hAnsi="Times New Roman" w:eastAsia="HY신명조"/>
          <w:b/>
          <w:i w:val="0"/>
          <w:sz w:val="18"/>
        </w:rPr>
        <w:t>Ⅲ. 실험 및 결과</w:t>
      </w:r>
    </w:p>
    <w:p>
      <w:pPr>
        <w:keepNext/>
        <w:autoSpaceDE w:val="0"/>
        <w:autoSpaceDN w:val="0"/>
        <w:spacing w:before="60" w:after="30"/>
      </w:pPr>
      <w:r>
        <w:rPr>
          <w:rFonts w:ascii="Times New Roman" w:hAnsi="Times New Roman" w:eastAsia="HY신명조"/>
          <w:b/>
          <w:i w:val="0"/>
          <w:sz w:val="18"/>
        </w:rPr>
        <w:t>3.1 실험 설정</w:t>
      </w:r>
    </w:p>
    <w:p>
      <w:pPr>
        <w:autoSpaceDE w:val="0"/>
        <w:autoSpaceDN w:val="0"/>
        <w:spacing w:after="50" w:line="240" w:lineRule="auto"/>
        <w:ind w:firstLine="180"/>
        <w:jc w:val="both"/>
      </w:pPr>
      <w:r>
        <w:rPr>
          <w:rFonts w:ascii="Times New Roman" w:hAnsi="Times New Roman" w:eastAsia="HY신명조"/>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채점하였다(문장 단위 채점과 AUC 0.991 대 0.990).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Times New Roman" w:hAnsi="Times New Roman" w:eastAsia="HY신명조"/>
          <w:b/>
          <w:i w:val="0"/>
          <w:sz w:val="18"/>
        </w:rPr>
        <w:t>3.2 결과</w:t>
      </w:r>
    </w:p>
    <w:p>
      <w:pPr>
        <w:keepNext/>
        <w:autoSpaceDE w:val="0"/>
        <w:autoSpaceDN w:val="0"/>
        <w:spacing w:before="80" w:after="40"/>
        <w:jc w:val="center"/>
      </w:pPr>
      <w:r>
        <w:rPr>
          <w:rFonts w:ascii="Times New Roman" w:hAnsi="Times New Roman" w:eastAsia="HY신명조"/>
          <w:b/>
          <w:i w:val="0"/>
          <w:sz w:val="17"/>
        </w:rPr>
        <w:t>표 1. 테스트 정확도 (5회 평균, †: 제안 방법(호출률 50%)보다 유의하게 낮음, McNemar p&lt;0.05)</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38"/>
          </w:tcPr>
          <w:p>
            <w:pPr>
              <w:keepNext/>
              <w:autoSpaceDE w:val="0"/>
              <w:autoSpaceDN w:val="0"/>
              <w:jc w:val="center"/>
            </w:pPr>
            <w:r/>
            <w:r>
              <w:rPr>
                <w:rFonts w:ascii="Times New Roman" w:hAnsi="Times New Roman" w:eastAsia="HY신명조"/>
                <w:b/>
                <w:i w:val="0"/>
                <w:sz w:val="17"/>
              </w:rPr>
              <w:t>방법</w:t>
            </w:r>
          </w:p>
        </w:tc>
        <w:tc>
          <w:tcPr>
            <w:tcW w:type="dxa" w:w="652"/>
          </w:tcPr>
          <w:p>
            <w:pPr>
              <w:keepNext/>
              <w:autoSpaceDE w:val="0"/>
              <w:autoSpaceDN w:val="0"/>
              <w:jc w:val="center"/>
            </w:pPr>
            <w:r/>
            <w:r>
              <w:rPr>
                <w:rFonts w:ascii="Times New Roman" w:hAnsi="Times New Roman" w:eastAsia="HY신명조"/>
                <w:b/>
                <w:i w:val="0"/>
                <w:sz w:val="17"/>
              </w:rPr>
              <w:t>호출률</w:t>
            </w:r>
          </w:p>
        </w:tc>
        <w:tc>
          <w:tcPr>
            <w:tcW w:type="dxa" w:w="680"/>
          </w:tcPr>
          <w:p>
            <w:pPr>
              <w:keepNext/>
              <w:autoSpaceDE w:val="0"/>
              <w:autoSpaceDN w:val="0"/>
              <w:jc w:val="center"/>
            </w:pPr>
            <w:r/>
            <w:r>
              <w:rPr>
                <w:rFonts w:ascii="Times New Roman" w:hAnsi="Times New Roman" w:eastAsia="HY신명조"/>
                <w:b/>
                <w:i w:val="0"/>
                <w:sz w:val="17"/>
              </w:rPr>
              <w:t>CLEF</w:t>
            </w:r>
          </w:p>
        </w:tc>
        <w:tc>
          <w:tcPr>
            <w:tcW w:type="dxa" w:w="964"/>
          </w:tcPr>
          <w:p>
            <w:pPr>
              <w:keepNext/>
              <w:autoSpaceDE w:val="0"/>
              <w:autoSpaceDN w:val="0"/>
              <w:jc w:val="center"/>
            </w:pPr>
            <w:r/>
            <w:r>
              <w:rPr>
                <w:rFonts w:ascii="Times New Roman" w:hAnsi="Times New Roman" w:eastAsia="HY신명조"/>
                <w:b/>
                <w:i w:val="0"/>
                <w:sz w:val="17"/>
              </w:rPr>
              <w:t>ClaimBuster</w:t>
            </w:r>
          </w:p>
        </w:tc>
      </w:tr>
      <w:tr>
        <w:tc>
          <w:tcPr>
            <w:tcW w:type="dxa" w:w="2438"/>
          </w:tcPr>
          <w:p>
            <w:pPr>
              <w:keepNext/>
              <w:autoSpaceDE w:val="0"/>
              <w:autoSpaceDN w:val="0"/>
              <w:jc w:val="left"/>
            </w:pPr>
            <w:r/>
            <w:r>
              <w:rPr>
                <w:rFonts w:ascii="Times New Roman" w:hAnsi="Times New Roman" w:eastAsia="HY신명조"/>
                <w:b w:val="0"/>
                <w:i w:val="0"/>
                <w:sz w:val="17"/>
              </w:rPr>
              <w:t>Gemma 3 4B</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0.778</w:t>
            </w:r>
          </w:p>
        </w:tc>
        <w:tc>
          <w:tcPr>
            <w:tcW w:type="dxa" w:w="964"/>
          </w:tcPr>
          <w:p>
            <w:pPr>
              <w:keepNext/>
              <w:autoSpaceDE w:val="0"/>
              <w:autoSpaceDN w:val="0"/>
              <w:jc w:val="center"/>
            </w:pPr>
            <w:r/>
            <w:r>
              <w:rPr>
                <w:rFonts w:ascii="Times New Roman" w:hAnsi="Times New Roman" w:eastAsia="HY신명조"/>
                <w:b w:val="0"/>
                <w:i w:val="0"/>
                <w:sz w:val="17"/>
              </w:rPr>
              <w:t>0.745</w:t>
            </w:r>
          </w:p>
        </w:tc>
      </w:tr>
      <w:tr>
        <w:tc>
          <w:tcPr>
            <w:tcW w:type="dxa" w:w="2438"/>
          </w:tcPr>
          <w:p>
            <w:pPr>
              <w:keepNext/>
              <w:autoSpaceDE w:val="0"/>
              <w:autoSpaceDN w:val="0"/>
              <w:jc w:val="left"/>
            </w:pPr>
            <w:r/>
            <w:r>
              <w:rPr>
                <w:rFonts w:ascii="Times New Roman" w:hAnsi="Times New Roman" w:eastAsia="HY신명조"/>
                <w:b w:val="0"/>
                <w:i w:val="0"/>
                <w:sz w:val="17"/>
              </w:rPr>
              <w:t xml:space="preserve">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0.834</w:t>
            </w:r>
          </w:p>
        </w:tc>
        <w:tc>
          <w:tcPr>
            <w:tcW w:type="dxa" w:w="964"/>
          </w:tcPr>
          <w:p>
            <w:pPr>
              <w:keepNext/>
              <w:autoSpaceDE w:val="0"/>
              <w:autoSpaceDN w:val="0"/>
              <w:jc w:val="center"/>
            </w:pPr>
            <w:r/>
            <w:r>
              <w:rPr>
                <w:rFonts w:ascii="Times New Roman" w:hAnsi="Times New Roman" w:eastAsia="HY신명조"/>
                <w:b w:val="0"/>
                <w:i w:val="0"/>
                <w:sz w:val="17"/>
              </w:rPr>
              <w:t>0.785</w:t>
            </w:r>
          </w:p>
        </w:tc>
      </w:tr>
      <w:tr>
        <w:tc>
          <w:tcPr>
            <w:tcW w:type="dxa" w:w="2438"/>
          </w:tcPr>
          <w:p>
            <w:pPr>
              <w:keepNext/>
              <w:autoSpaceDE w:val="0"/>
              <w:autoSpaceDN w:val="0"/>
              <w:jc w:val="left"/>
            </w:pPr>
            <w:r/>
            <w:r>
              <w:rPr>
                <w:rFonts w:ascii="Times New Roman" w:hAnsi="Times New Roman" w:eastAsia="HY신명조"/>
                <w:b w:val="0"/>
                <w:i w:val="0"/>
                <w:sz w:val="17"/>
              </w:rPr>
              <w:t>임베딩 SVM</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0.859</w:t>
            </w:r>
          </w:p>
        </w:tc>
        <w:tc>
          <w:tcPr>
            <w:tcW w:type="dxa" w:w="964"/>
          </w:tcPr>
          <w:p>
            <w:pPr>
              <w:keepNext/>
              <w:autoSpaceDE w:val="0"/>
              <w:autoSpaceDN w:val="0"/>
              <w:jc w:val="center"/>
            </w:pPr>
            <w:r/>
            <w:r>
              <w:rPr>
                <w:rFonts w:ascii="Times New Roman" w:hAnsi="Times New Roman" w:eastAsia="HY신명조"/>
                <w:b w:val="0"/>
                <w:i w:val="0"/>
                <w:sz w:val="17"/>
              </w:rPr>
              <w:t>0.790</w:t>
            </w:r>
          </w:p>
        </w:tc>
      </w:tr>
      <w:tr>
        <w:tc>
          <w:tcPr>
            <w:tcW w:type="dxa" w:w="2438"/>
          </w:tcPr>
          <w:p>
            <w:pPr>
              <w:keepNext/>
              <w:autoSpaceDE w:val="0"/>
              <w:autoSpaceDN w:val="0"/>
              <w:jc w:val="left"/>
            </w:pPr>
            <w:r/>
            <w:r>
              <w:rPr>
                <w:rFonts w:ascii="Times New Roman" w:hAnsi="Times New Roman" w:eastAsia="HY신명조"/>
                <w:b w:val="0"/>
                <w:i w:val="0"/>
                <w:sz w:val="17"/>
              </w:rPr>
              <w:t>LLM 전량 호출</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0.896†</w:t>
            </w:r>
          </w:p>
        </w:tc>
        <w:tc>
          <w:tcPr>
            <w:tcW w:type="dxa" w:w="964"/>
          </w:tcPr>
          <w:p>
            <w:pPr>
              <w:keepNext/>
              <w:autoSpaceDE w:val="0"/>
              <w:autoSpaceDN w:val="0"/>
              <w:jc w:val="center"/>
            </w:pPr>
            <w:r/>
            <w:r>
              <w:rPr>
                <w:rFonts w:ascii="Times New Roman" w:hAnsi="Times New Roman" w:eastAsia="HY신명조"/>
                <w:b w:val="0"/>
                <w:i w:val="0"/>
                <w:sz w:val="17"/>
              </w:rPr>
              <w:t>0.835</w:t>
            </w:r>
          </w:p>
        </w:tc>
      </w:tr>
      <w:tr>
        <w:tc>
          <w:tcPr>
            <w:tcW w:type="dxa" w:w="2438"/>
          </w:tcPr>
          <w:p>
            <w:pPr>
              <w:keepNext/>
              <w:autoSpaceDE w:val="0"/>
              <w:autoSpaceDN w:val="0"/>
              <w:jc w:val="left"/>
            </w:pPr>
            <w:r/>
            <w:r>
              <w:rPr>
                <w:rFonts w:ascii="Times New Roman" w:hAnsi="Times New Roman" w:eastAsia="HY신명조"/>
                <w:b w:val="0"/>
                <w:i w:val="0"/>
                <w:sz w:val="17"/>
              </w:rPr>
              <w:t xml:space="preserve">  + 임계값 조정</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0.915</w:t>
            </w:r>
          </w:p>
        </w:tc>
        <w:tc>
          <w:tcPr>
            <w:tcW w:type="dxa" w:w="964"/>
          </w:tcPr>
          <w:p>
            <w:pPr>
              <w:keepNext/>
              <w:autoSpaceDE w:val="0"/>
              <w:autoSpaceDN w:val="0"/>
              <w:jc w:val="center"/>
            </w:pPr>
            <w:r/>
            <w:r>
              <w:rPr>
                <w:rFonts w:ascii="Times New Roman" w:hAnsi="Times New Roman" w:eastAsia="HY신명조"/>
                <w:b w:val="0"/>
                <w:i w:val="0"/>
                <w:sz w:val="17"/>
              </w:rPr>
              <w:t>0.830†</w:t>
            </w:r>
          </w:p>
        </w:tc>
      </w:tr>
      <w:tr>
        <w:tc>
          <w:tcPr>
            <w:tcW w:type="dxa" w:w="2438"/>
          </w:tcPr>
          <w:p>
            <w:pPr>
              <w:keepNext/>
              <w:autoSpaceDE w:val="0"/>
              <w:autoSpaceDN w:val="0"/>
              <w:jc w:val="left"/>
            </w:pPr>
            <w:r/>
            <w:r>
              <w:rPr>
                <w:rFonts w:ascii="Times New Roman" w:hAnsi="Times New Roman" w:eastAsia="HY신명조"/>
                <w:b w:val="0"/>
                <w:i w:val="0"/>
                <w:sz w:val="17"/>
              </w:rPr>
              <w:t xml:space="preserve">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0.897†</w:t>
            </w:r>
          </w:p>
        </w:tc>
        <w:tc>
          <w:tcPr>
            <w:tcW w:type="dxa" w:w="964"/>
          </w:tcPr>
          <w:p>
            <w:pPr>
              <w:keepNext/>
              <w:autoSpaceDE w:val="0"/>
              <w:autoSpaceDN w:val="0"/>
              <w:jc w:val="center"/>
            </w:pPr>
            <w:r/>
            <w:r>
              <w:rPr>
                <w:rFonts w:ascii="Times New Roman" w:hAnsi="Times New Roman" w:eastAsia="HY신명조"/>
                <w:b w:val="0"/>
                <w:i w:val="0"/>
                <w:sz w:val="17"/>
              </w:rPr>
              <w:t>0.826†</w:t>
            </w:r>
          </w:p>
        </w:tc>
      </w:tr>
      <w:tr>
        <w:tc>
          <w:tcPr>
            <w:tcW w:type="dxa" w:w="2438"/>
          </w:tcPr>
          <w:p>
            <w:pPr>
              <w:keepNext/>
              <w:autoSpaceDE w:val="0"/>
              <w:autoSpaceDN w:val="0"/>
              <w:jc w:val="left"/>
            </w:pPr>
            <w:r/>
            <w:r>
              <w:rPr>
                <w:rFonts w:ascii="Times New Roman" w:hAnsi="Times New Roman" w:eastAsia="HY신명조"/>
                <w:b w:val="0"/>
                <w:i w:val="0"/>
                <w:sz w:val="17"/>
              </w:rPr>
              <w:t>교체형 캐스케이드</w:t>
            </w:r>
          </w:p>
        </w:tc>
        <w:tc>
          <w:tcPr>
            <w:tcW w:type="dxa" w:w="652"/>
          </w:tcPr>
          <w:p>
            <w:pPr>
              <w:keepNext/>
              <w:autoSpaceDE w:val="0"/>
              <w:autoSpaceDN w:val="0"/>
              <w:jc w:val="center"/>
            </w:pPr>
            <w:r/>
            <w:r>
              <w:rPr>
                <w:rFonts w:ascii="Times New Roman" w:hAnsi="Times New Roman" w:eastAsia="HY신명조"/>
                <w:b w:val="0"/>
                <w:i w:val="0"/>
                <w:sz w:val="17"/>
              </w:rPr>
              <w:t>50%</w:t>
            </w:r>
          </w:p>
        </w:tc>
        <w:tc>
          <w:tcPr>
            <w:tcW w:type="dxa" w:w="680"/>
          </w:tcPr>
          <w:p>
            <w:pPr>
              <w:keepNext/>
              <w:autoSpaceDE w:val="0"/>
              <w:autoSpaceDN w:val="0"/>
              <w:jc w:val="center"/>
            </w:pPr>
            <w:r/>
            <w:r>
              <w:rPr>
                <w:rFonts w:ascii="Times New Roman" w:hAnsi="Times New Roman" w:eastAsia="HY신명조"/>
                <w:b w:val="0"/>
                <w:i w:val="0"/>
                <w:sz w:val="17"/>
              </w:rPr>
              <w:t>0.916</w:t>
            </w:r>
          </w:p>
        </w:tc>
        <w:tc>
          <w:tcPr>
            <w:tcW w:type="dxa" w:w="964"/>
          </w:tcPr>
          <w:p>
            <w:pPr>
              <w:keepNext/>
              <w:autoSpaceDE w:val="0"/>
              <w:autoSpaceDN w:val="0"/>
              <w:jc w:val="center"/>
            </w:pPr>
            <w:r/>
            <w:r>
              <w:rPr>
                <w:rFonts w:ascii="Times New Roman" w:hAnsi="Times New Roman" w:eastAsia="HY신명조"/>
                <w:b w:val="0"/>
                <w:i w:val="0"/>
                <w:sz w:val="17"/>
              </w:rPr>
              <w:t>0.835†</w:t>
            </w:r>
          </w:p>
        </w:tc>
      </w:tr>
      <w:tr>
        <w:tc>
          <w:tcPr>
            <w:tcW w:type="dxa" w:w="2438"/>
          </w:tcPr>
          <w:p>
            <w:pPr>
              <w:keepNext/>
              <w:autoSpaceDE w:val="0"/>
              <w:autoSpaceDN w:val="0"/>
              <w:jc w:val="left"/>
            </w:pPr>
            <w:r/>
            <w:r>
              <w:rPr>
                <w:rFonts w:ascii="Times New Roman" w:hAnsi="Times New Roman" w:eastAsia="HY신명조"/>
                <w:b w:val="0"/>
                <w:i w:val="0"/>
                <w:sz w:val="17"/>
              </w:rPr>
              <w:t xml:space="preserve">NN</w:t>
              <w:noBreakHyphen/>
              <w:t xml:space="preserve">PPI 판정 캐스케이드</w:t>
            </w:r>
          </w:p>
        </w:tc>
        <w:tc>
          <w:tcPr>
            <w:tcW w:type="dxa" w:w="652"/>
          </w:tcPr>
          <w:p>
            <w:pPr>
              <w:keepNext/>
              <w:autoSpaceDE w:val="0"/>
              <w:autoSpaceDN w:val="0"/>
              <w:jc w:val="center"/>
            </w:pPr>
            <w:r/>
            <w:r>
              <w:rPr>
                <w:rFonts w:ascii="Times New Roman" w:hAnsi="Times New Roman" w:eastAsia="HY신명조"/>
                <w:b w:val="0"/>
                <w:i w:val="0"/>
                <w:sz w:val="17"/>
              </w:rPr>
              <w:t>50%</w:t>
            </w:r>
          </w:p>
        </w:tc>
        <w:tc>
          <w:tcPr>
            <w:tcW w:type="dxa" w:w="680"/>
          </w:tcPr>
          <w:p>
            <w:pPr>
              <w:keepNext/>
              <w:autoSpaceDE w:val="0"/>
              <w:autoSpaceDN w:val="0"/>
              <w:jc w:val="center"/>
            </w:pPr>
            <w:r/>
            <w:r>
              <w:rPr>
                <w:rFonts w:ascii="Times New Roman" w:hAnsi="Times New Roman" w:eastAsia="HY신명조"/>
                <w:b w:val="0"/>
                <w:i w:val="0"/>
                <w:sz w:val="17"/>
              </w:rPr>
              <w:t>0.898†</w:t>
            </w:r>
          </w:p>
        </w:tc>
        <w:tc>
          <w:tcPr>
            <w:tcW w:type="dxa" w:w="964"/>
          </w:tcPr>
          <w:p>
            <w:pPr>
              <w:keepNext/>
              <w:autoSpaceDE w:val="0"/>
              <w:autoSpaceDN w:val="0"/>
              <w:jc w:val="center"/>
            </w:pPr>
            <w:r/>
            <w:r>
              <w:rPr>
                <w:rFonts w:ascii="Times New Roman" w:hAnsi="Times New Roman" w:eastAsia="HY신명조"/>
                <w:b w:val="0"/>
                <w:i w:val="0"/>
                <w:sz w:val="17"/>
              </w:rPr>
              <w:t>0.824†</w:t>
            </w:r>
          </w:p>
        </w:tc>
      </w:tr>
      <w:tr>
        <w:tc>
          <w:tcPr>
            <w:tcW w:type="dxa" w:w="2438"/>
          </w:tcPr>
          <w:p>
            <w:pPr>
              <w:keepNext/>
              <w:autoSpaceDE w:val="0"/>
              <w:autoSpaceDN w:val="0"/>
              <w:jc w:val="left"/>
            </w:pPr>
            <w:r/>
            <w:r>
              <w:rPr>
                <w:rFonts w:ascii="Times New Roman" w:hAnsi="Times New Roman" w:eastAsia="HY신명조"/>
                <w:b/>
                <w:i w:val="0"/>
                <w:sz w:val="17"/>
              </w:rPr>
              <w:t>결합형 캐스케이드 (제안)</w:t>
            </w:r>
          </w:p>
        </w:tc>
        <w:tc>
          <w:tcPr>
            <w:tcW w:type="dxa" w:w="652"/>
          </w:tcPr>
          <w:p>
            <w:pPr>
              <w:keepNext/>
              <w:autoSpaceDE w:val="0"/>
              <w:autoSpaceDN w:val="0"/>
              <w:jc w:val="center"/>
            </w:pPr>
            <w:r/>
            <w:r>
              <w:rPr>
                <w:rFonts w:ascii="Times New Roman" w:hAnsi="Times New Roman" w:eastAsia="HY신명조"/>
                <w:b/>
                <w:i w:val="0"/>
                <w:sz w:val="17"/>
              </w:rPr>
              <w:t>50%</w:t>
            </w:r>
          </w:p>
        </w:tc>
        <w:tc>
          <w:tcPr>
            <w:tcW w:type="dxa" w:w="680"/>
          </w:tcPr>
          <w:p>
            <w:pPr>
              <w:keepNext/>
              <w:autoSpaceDE w:val="0"/>
              <w:autoSpaceDN w:val="0"/>
              <w:jc w:val="center"/>
            </w:pPr>
            <w:r/>
            <w:r>
              <w:rPr>
                <w:rFonts w:ascii="Times New Roman" w:hAnsi="Times New Roman" w:eastAsia="HY신명조"/>
                <w:b/>
                <w:i w:val="0"/>
                <w:sz w:val="17"/>
              </w:rPr>
              <w:t>0.923</w:t>
            </w:r>
          </w:p>
        </w:tc>
        <w:tc>
          <w:tcPr>
            <w:tcW w:type="dxa" w:w="964"/>
          </w:tcPr>
          <w:p>
            <w:pPr>
              <w:keepNext/>
              <w:autoSpaceDE w:val="0"/>
              <w:autoSpaceDN w:val="0"/>
              <w:jc w:val="center"/>
            </w:pPr>
            <w:r/>
            <w:r>
              <w:rPr>
                <w:rFonts w:ascii="Times New Roman" w:hAnsi="Times New Roman" w:eastAsia="HY신명조"/>
                <w:b/>
                <w:i w:val="0"/>
                <w:sz w:val="17"/>
              </w:rPr>
              <w:t>0.846</w:t>
            </w:r>
          </w:p>
        </w:tc>
      </w:tr>
      <w:tr>
        <w:tc>
          <w:tcPr>
            <w:tcW w:type="dxa" w:w="2438"/>
          </w:tcPr>
          <w:p>
            <w:pPr>
              <w:autoSpaceDE w:val="0"/>
              <w:autoSpaceDN w:val="0"/>
              <w:jc w:val="left"/>
            </w:pPr>
            <w:r/>
            <w:r>
              <w:rPr>
                <w:rFonts w:ascii="Times New Roman" w:hAnsi="Times New Roman" w:eastAsia="HY신명조"/>
                <w:b w:val="0"/>
                <w:i w:val="0"/>
                <w:sz w:val="17"/>
              </w:rPr>
              <w:t xml:space="preserve">  (호출률 100%, 참고)</w:t>
            </w:r>
          </w:p>
        </w:tc>
        <w:tc>
          <w:tcPr>
            <w:tcW w:type="dxa" w:w="652"/>
          </w:tcPr>
          <w:p>
            <w:pPr>
              <w:autoSpaceDE w:val="0"/>
              <w:autoSpaceDN w:val="0"/>
              <w:jc w:val="center"/>
            </w:pPr>
            <w:r/>
            <w:r>
              <w:rPr>
                <w:rFonts w:ascii="Times New Roman" w:hAnsi="Times New Roman" w:eastAsia="HY신명조"/>
                <w:b w:val="0"/>
                <w:i w:val="0"/>
                <w:sz w:val="17"/>
              </w:rPr>
              <w:t>100%</w:t>
            </w:r>
          </w:p>
        </w:tc>
        <w:tc>
          <w:tcPr>
            <w:tcW w:type="dxa" w:w="680"/>
          </w:tcPr>
          <w:p>
            <w:pPr>
              <w:autoSpaceDE w:val="0"/>
              <w:autoSpaceDN w:val="0"/>
              <w:jc w:val="center"/>
            </w:pPr>
            <w:r/>
            <w:r>
              <w:rPr>
                <w:rFonts w:ascii="Times New Roman" w:hAnsi="Times New Roman" w:eastAsia="HY신명조"/>
                <w:b w:val="0"/>
                <w:i w:val="0"/>
                <w:sz w:val="17"/>
              </w:rPr>
              <w:t>0.924</w:t>
            </w:r>
          </w:p>
        </w:tc>
        <w:tc>
          <w:tcPr>
            <w:tcW w:type="dxa" w:w="964"/>
          </w:tcPr>
          <w:p>
            <w:pPr>
              <w:autoSpaceDE w:val="0"/>
              <w:autoSpaceDN w:val="0"/>
              <w:jc w:val="center"/>
            </w:pPr>
            <w:r/>
            <w:r>
              <w:rPr>
                <w:rFonts w:ascii="Times New Roman" w:hAnsi="Times New Roman" w:eastAsia="HY신명조"/>
                <w:b w:val="0"/>
                <w:i w:val="0"/>
                <w:sz w:val="17"/>
              </w:rPr>
              <w:t>0.852</w:t>
            </w:r>
          </w:p>
        </w:tc>
      </w:tr>
    </w:tbl>
    <w:p>
      <w:pPr>
        <w:autoSpaceDE w:val="0"/>
        <w:autoSpaceDN w:val="0"/>
        <w:spacing w:after="60" w:line="240" w:lineRule="auto"/>
        <w:ind w:firstLine="180"/>
        <w:jc w:val="both"/>
      </w:pPr>
      <w:r>
        <w:rPr>
          <w:rFonts w:ascii="Times New Roman" w:hAnsi="Times New Roman" w:eastAsia="HY신명조"/>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80"/>
        <w:jc w:val="both"/>
      </w:pPr>
      <w:r>
        <w:rPr>
          <w:rFonts w:ascii="Times New Roman" w:hAnsi="Times New Roman" w:eastAsia="HY신명조"/>
          <w:b w:val="0"/>
          <w:i w:val="0"/>
          <w:sz w:val="18"/>
        </w:rPr>
        <w:t xml:space="preserve">호출률 50%는 테스트가 아닌 보정 세트에서 정하였다(교차적합 정확도가 50% 이후 0.1%p 이하로만 올라 포화, 전량 호출과 0.7%p 이내: CLEF 0.839 대 0.845, ClaimBuster 0.837 대 0.837).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테스트 문장을 모으지 않고 보정 세트에서 정한 |d| 임계값으로 문장마다 라우팅해도 정확도는 0.920, 0.845(실제 호출률 38%, 49%)였다.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높았고(ClaimBuster 30~50%, CLEF 20~30%에서 유의, p≤0.023), 같은 문장에 LLM을 호출하고 NN</w:t>
        <w:noBreakHyphen/>
        <w:t xml:space="preserve">PPI로 판정하는 캐스케이드(0.898, 0.824)보다도 유의하게 높아(p&lt;0.001) 이 차이는 판정 방식에서 온다.</w:t>
      </w:r>
    </w:p>
    <w:p>
      <w:pPr>
        <w:autoSpaceDE w:val="0"/>
        <w:autoSpaceDN w:val="0"/>
        <w:spacing w:after="50" w:line="240" w:lineRule="auto"/>
        <w:ind w:firstLine="180"/>
        <w:jc w:val="both"/>
      </w:pPr>
      <w:r>
        <w:rPr>
          <w:rFonts w:ascii="Times New Roman" w:hAnsi="Times New Roman" w:eastAsia="HY신명조"/>
          <w:b w:val="0"/>
          <w:i w:val="0"/>
          <w:sz w:val="18"/>
        </w:rPr>
        <w:t>식 (1)은 LLM 점수의 판정 기준을 d에 따라 옮긴다. CLEF 1회차에서 학습한 계수(a=1.46, b=6.76, c=−1.51)로 보면, 결합형이 팩트체크가 필요하다고 판정하는 LLM 점수 기준 (−c−a·d)/b는 d=0에서 0.22이고 분류기가 불필요 쪽으로 기울수록 높아진다. 예를 들어 공약 문장 “I'm going to give them $5,000 to take with them wherever they want to go, and this will give them affordability.”(라벨: 불필요)은 d=−0.84, s=0.35여서, LLM 임계값 0.16을 쓰는 교체형은 팩트체크가 필요하다고 잘못 판정하지만 결합형은 기준 0.41에 못 미쳐 옳게 판정한다. 호출한 절반에서 결합형만 옳은 문장은 36개, 교체형만 옳은 문장은 24개였다.</w:t>
      </w:r>
    </w:p>
    <w:p>
      <w:pPr>
        <w:keepNext/>
        <w:autoSpaceDE w:val="0"/>
        <w:autoSpaceDN w:val="0"/>
        <w:spacing w:before="60" w:after="20"/>
        <w:jc w:val="center"/>
      </w:pPr>
      <w:r>
        <w:drawing>
          <wp:inline xmlns:a="http://schemas.openxmlformats.org/drawingml/2006/main" xmlns:pic="http://schemas.openxmlformats.org/drawingml/2006/picture">
            <wp:extent cx="2951999" cy="1711458"/>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711458"/>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2. 호출률에 따른 테스트 정확도 (5회 평균, 띠는 표준편차)</w:t>
      </w:r>
    </w:p>
    <w:p>
      <w:pPr>
        <w:keepNext/>
        <w:autoSpaceDE w:val="0"/>
        <w:autoSpaceDN w:val="0"/>
        <w:spacing w:before="120" w:after="95"/>
      </w:pPr>
      <w:r>
        <w:rPr>
          <w:rFonts w:ascii="Times New Roman" w:hAnsi="Times New Roman" w:eastAsia="HY신명조"/>
          <w:b/>
          <w:i w:val="0"/>
          <w:sz w:val="18"/>
        </w:rPr>
        <w:t>Ⅳ. 결 론</w:t>
      </w:r>
    </w:p>
    <w:p>
      <w:pPr>
        <w:autoSpaceDE w:val="0"/>
        <w:autoSpaceDN w:val="0"/>
        <w:spacing w:after="50" w:line="240" w:lineRule="auto"/>
        <w:ind w:firstLine="180"/>
        <w:jc w:val="both"/>
      </w:pPr>
      <w:r>
        <w:rPr>
          <w:rFonts w:ascii="Times New Roman" w:hAnsi="Times New Roman" w:eastAsia="HY신명조"/>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있으며, 향후 다국어 데이터와 여러 LLM, 금액 기준 비용으로 평가를 확장할 계획이다.</w:t>
      </w:r>
    </w:p>
    <w:p>
      <w:pPr>
        <w:keepNext/>
        <w:autoSpaceDE w:val="0"/>
        <w:autoSpaceDN w:val="0"/>
        <w:spacing w:before="120" w:after="95"/>
      </w:pPr>
      <w:r>
        <w:rPr>
          <w:rFonts w:ascii="Times New Roman" w:hAnsi="Times New Roman" w:eastAsia="HY신명조"/>
          <w:b/>
          <w:i w:val="0"/>
          <w:sz w:val="18"/>
        </w:rPr>
        <w:t>참 고 문 헌</w:t>
      </w:r>
    </w:p>
    <w:p>
      <w:pPr>
        <w:autoSpaceDE w:val="0"/>
        <w:autoSpaceDN w:val="0"/>
        <w:spacing w:after="0" w:line="240" w:lineRule="auto"/>
        <w:ind w:left="246" w:hanging="246"/>
        <w:jc w:val="left"/>
      </w:pPr>
      <w:r>
        <w:rPr>
          <w:rFonts w:ascii="Times New Roman" w:hAnsi="Times New Roman" w:eastAsia="HY신명조"/>
          <w:b w:val="0"/>
          <w:i w:val="0"/>
          <w:sz w:val="18"/>
        </w:rPr>
        <w:t>[1] P. Amatya, Venktesh V, and V. Setty, "Calibrating Small Language Models for Claim Check-Worthiness Detection," arXiv:2608.30731, 2026.</w:t>
      </w:r>
    </w:p>
    <w:p>
      <w:pPr>
        <w:autoSpaceDE w:val="0"/>
        <w:autoSpaceDN w:val="0"/>
        <w:spacing w:after="0" w:line="240" w:lineRule="auto"/>
        <w:ind w:left="246" w:hanging="246"/>
        <w:jc w:val="left"/>
      </w:pPr>
      <w:r>
        <w:rPr>
          <w:rFonts w:ascii="Times New Roman" w:hAnsi="Times New Roman" w:eastAsia="HY신명조"/>
          <w:b w:val="0"/>
          <w:i w:val="0"/>
          <w:sz w:val="18"/>
        </w:rPr>
        <w:t>[2] P. Amatya and V. Setty, "Multilingual Fact-Checking at Scale: Fine-Tuned Compact Models vs LLMs," arXiv:2606.08605, 2026.</w:t>
      </w:r>
    </w:p>
    <w:p>
      <w:pPr>
        <w:autoSpaceDE w:val="0"/>
        <w:autoSpaceDN w:val="0"/>
        <w:spacing w:after="0" w:line="240" w:lineRule="auto"/>
        <w:ind w:left="246" w:hanging="246"/>
        <w:jc w:val="left"/>
      </w:pPr>
      <w:r>
        <w:rPr>
          <w:rFonts w:ascii="Times New Roman" w:hAnsi="Times New Roman" w:eastAsia="HY신명조"/>
          <w:b w:val="0"/>
          <w:i w:val="0"/>
          <w:sz w:val="18"/>
        </w:rPr>
        <w:t>[3] M. Schlee et al., "LabelFusion: Fusing Large Language Models with Transformer Encoders for Robust Financial News Classification," arXiv:2512.10793, 2025.</w:t>
      </w:r>
    </w:p>
    <w:p>
      <w:pPr>
        <w:autoSpaceDE w:val="0"/>
        <w:autoSpaceDN w:val="0"/>
        <w:spacing w:after="0" w:line="240" w:lineRule="auto"/>
        <w:ind w:left="246" w:hanging="246"/>
        <w:jc w:val="left"/>
      </w:pPr>
      <w:r>
        <w:rPr>
          <w:rFonts w:ascii="Times New Roman" w:hAnsi="Times New Roman" w:eastAsia="HY신명조"/>
          <w:b w:val="0"/>
          <w:i w:val="0"/>
          <w:sz w:val="18"/>
        </w:rPr>
        <w:t>[4] T. Burleigh, "Do Small Language Models Know When They're Wrong? Confidence-Based Cascade Scoring for Educational Assessment," arXiv:2604.19781, 2026.</w:t>
      </w:r>
    </w:p>
    <w:p>
      <w:pPr>
        <w:autoSpaceDE w:val="0"/>
        <w:autoSpaceDN w:val="0"/>
        <w:spacing w:after="0" w:line="240" w:lineRule="auto"/>
        <w:ind w:left="246" w:hanging="246"/>
        <w:jc w:val="left"/>
      </w:pPr>
      <w:r>
        <w:rPr>
          <w:rFonts w:ascii="Times New Roman" w:hAnsi="Times New Roman" w:eastAsia="HY신명조"/>
          <w:b w:val="0"/>
          <w:i w:val="0"/>
          <w:sz w:val="18"/>
        </w:rPr>
        <w:t>[5] M. Hasanain et al., "Overview of the CLEF-2024 CheckThat! Lab Task 1 on Check-Worthiness Estimation of Multigenre Content," CEUR-WS vol. 3740, pp. 276–286, 2024.</w:t>
      </w:r>
    </w:p>
    <w:p>
      <w:pPr>
        <w:autoSpaceDE w:val="0"/>
        <w:autoSpaceDN w:val="0"/>
        <w:spacing w:after="0" w:line="240" w:lineRule="auto"/>
        <w:ind w:left="246" w:hanging="246"/>
        <w:jc w:val="left"/>
      </w:pPr>
      <w:r>
        <w:rPr>
          <w:rFonts w:ascii="Times New Roman" w:hAnsi="Times New Roman" w:eastAsia="HY신명조"/>
          <w:b w:val="0"/>
          <w:i w:val="0"/>
          <w:sz w:val="18"/>
        </w:rPr>
        <w:t>[6] F. Arslan, N. Hassan, C. Li, and M. Tremayne, "A Benchmark Dataset of Check-Worthy Factual Claims," in Proc. ICWSM, vol. 14, pp. 821–829, 2020.</w:t>
      </w:r>
    </w:p>
    <w:p>
      <w:pPr>
        <w:autoSpaceDE w:val="0"/>
        <w:autoSpaceDN w:val="0"/>
        <w:spacing w:after="0" w:line="240" w:lineRule="auto"/>
        <w:ind w:left="246" w:hanging="246"/>
        <w:jc w:val="left"/>
      </w:pPr>
      <w:r>
        <w:rPr>
          <w:rFonts w:ascii="Times New Roman" w:hAnsi="Times New Roman" w:eastAsia="HY신명조"/>
          <w:b w:val="0"/>
          <w:i w:val="0"/>
          <w:sz w:val="18"/>
        </w:rPr>
        <w:t>[7] Z. Wang et al., "Signed Rescue Routing: Harm-Aware Cascades for Efficient LLM Inference," arXiv:2609.07786, 2026.</w:t>
      </w:r>
    </w:p>
    <w:p>
      <w:pPr>
        <w:autoSpaceDE w:val="0"/>
        <w:autoSpaceDN w:val="0"/>
        <w:spacing w:after="0" w:line="240" w:lineRule="auto"/>
        <w:ind w:left="246" w:hanging="246"/>
        <w:jc w:val="left"/>
      </w:pPr>
      <w:r>
        <w:rPr>
          <w:rFonts w:ascii="Times New Roman" w:hAnsi="Times New Roman" w:eastAsia="HY신명조"/>
          <w:b w:val="0"/>
          <w:i w:val="0"/>
          <w:sz w:val="18"/>
        </w:rPr>
        <w:t>[8] Y. Zhang et al., "Calibration-Aware Uncertainty Cascades for Efficient Heterogeneous Model Collaboration," arXiv:2609.11446, 2026.</w:t>
      </w:r>
    </w:p>
    <w:sectPr w:rsidR="00FC693F" w:rsidRPr="0006063C" w:rsidSect="00034616">
      <w:type w:val="continuous"/>
      <w:pgSz w:w="11906" w:h="16838"/>
      <w:pgMar w:top="1134" w:right="850" w:bottom="1134" w:left="1134"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