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40"/>
          <w:szCs w:val="40"/>
        </w:rPr>
        <w:t xml:space="preserve">FOOTWEAR INSIGHT 매거진 요약 보고서</w:t>
      </w:r>
    </w:p>
    <w:p>
      <w:pPr>
        <w:spacing w:after="60"/>
        <w:jc w:val="center"/>
      </w:pPr>
      <w:r>
        <w:rPr>
          <w:color w:val="444444"/>
          <w:sz w:val="24"/>
          <w:szCs w:val="24"/>
        </w:rPr>
        <w:t xml:space="preserve">2026년 7·8월호 (Formula4 Media 발행)</w:t>
      </w:r>
    </w:p>
    <w:p>
      <w:pPr>
        <w:spacing w:after="300"/>
        <w:jc w:val="center"/>
      </w:pPr>
      <w:r>
        <w:rPr>
          <w:color w:val="888888"/>
          <w:sz w:val="20"/>
          <w:szCs w:val="20"/>
        </w:rPr>
        <w:t xml:space="preserve">작성일: 2026년 8월 10일 · 원문 39페이지 → 내용별 절반 분량 요약</w:t>
      </w:r>
    </w:p>
    <w:p>
      <w:pPr>
        <w:spacing w:after="60" w:before="120"/>
        <w:jc w:val="center"/>
      </w:pPr>
      <w:r>
        <w:drawing>
          <wp:inline distT="0" distB="0" distL="0" distR="0">
            <wp:extent cx="27432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3314700"/>
                    </a:xfrm>
                    <a:prstGeom prst="rect">
                      <a:avLst/>
                    </a:prstGeom>
                  </pic:spPr>
                </pic:pic>
              </a:graphicData>
            </a:graphic>
          </wp:inline>
        </w:drawing>
      </w:r>
    </w:p>
    <w:p>
      <w:pPr>
        <w:spacing w:after="240"/>
        <w:jc w:val="center"/>
      </w:pPr>
      <w:r>
        <w:rPr>
          <w:i/>
          <w:iCs/>
          <w:color w:val="666666"/>
          <w:sz w:val="18"/>
          <w:szCs w:val="18"/>
        </w:rPr>
        <w:t xml:space="preserve">원문 표지</w:t>
      </w:r>
    </w:p>
    <w:p>
      <w:pPr>
        <w:spacing w:after="160" w:line="300"/>
        <w:jc w:val="both"/>
      </w:pPr>
      <w:r>
        <w:t xml:space="preserve">이 보고서는 신발 업계 전문지 Footwear Insight 2026년 7·8월호(총 39페이지)를 주제별로 정리한 것이다. 각 섹션의 핵심 내용을 원문 대비 절반 수준 분량으로 압축했으며, 섹션별로 원문의 주요 지면을 이미지로 캡처해 함께 실었다. 이미지 하단에는 원문 상의 페이지 번호를 표기했다.</w:t>
      </w:r>
    </w:p>
    <w:p>
      <w:pPr>
        <w:pStyle w:val="Heading1"/>
        <w:spacing w:after="160" w:before="360"/>
      </w:pPr>
      <w:r>
        <w:t xml:space="preserve">1. 개요 — 표지 &amp; 발행인 레터</w:t>
      </w:r>
    </w:p>
    <w:p>
      <w:pPr>
        <w:spacing w:after="160" w:line="300"/>
        <w:jc w:val="both"/>
      </w:pPr>
      <w:r>
        <w:t xml:space="preserve">이번 호는 「The Boot Book: Performance Without Compromises」를 헤드라인으로 내세워 워크부츠 특집을 전면에 배치했다. 함께 예고된 주요 기사는 스니커즈 트렌드(Step To It), 독립 소매업체 인터뷰(Shop Talk: AI·기술·관세·개학 시즌), AI 매장 활용 칼럼(The AI-Powered Shoe Store), 2026년 2분기 실적 리포트(Business Report Quarterly)다.</w:t>
      </w:r>
    </w:p>
    <w:p>
      <w:pPr>
        <w:spacing w:after="160" w:line="300"/>
        <w:jc w:val="both"/>
      </w:pPr>
      <w:r>
        <w:t xml:space="preserve">발행인 Jeff Nott는 권두언에서 AI, 관세, 개학 시즌이라는 세 가지 화두가 동시에 소매 현장을 흔들고 있다고 짚었다. 2분기 소매·브랜드 지수는 모두 상승했지만 신발 소매가는 전년 대비 4% 이상 올랐고, 관세는 2월 미 대법원 판결로 무효화됐음에도 그 여파가 5개월째 이어지고 있다고 전했다. 그는 기술이나 정책이 무엇이든 결국 성패는 소비자 한 명, 피팅 한 번, 신발 한 켤레 단위에서 갈린다는 메시지로 글을 맺었다.</w:t>
      </w:r>
    </w:p>
    <w:p>
      <w:pPr>
        <w:pStyle w:val="Heading1"/>
        <w:spacing w:after="160" w:before="360"/>
      </w:pPr>
      <w:r>
        <w:t xml:space="preserve">2. 업계 소식 (The Footwear Eye)</w:t>
      </w:r>
    </w:p>
    <w:p>
      <w:pPr>
        <w:spacing w:after="80" w:line="280"/>
        <w:ind w:left="240" w:hanging="160"/>
      </w:pPr>
      <w:r>
        <w:t xml:space="preserve">– ECCO는 8월 여성 컬렉션 'ECCO Elevate'를 출시한다. 로퍼·펌프스·발레플랫 등으로 구성되며 가격대는 140~150달러.</w:t>
      </w:r>
    </w:p>
    <w:p>
      <w:pPr>
        <w:spacing w:after="80" w:line="280"/>
        <w:ind w:left="240" w:hanging="160"/>
      </w:pPr>
      <w:r>
        <w:t xml:space="preserve">– Allbirds는 사명을 'Smartbird'로 바꾸고 AI 인프라 기업으로 전환했다. 신발 브랜드 자체는 American Exchange Group이 3,900만 달러에 인수해 WSG Brands와 공동 운영한다.</w:t>
      </w:r>
    </w:p>
    <w:p>
      <w:pPr>
        <w:spacing w:after="80" w:line="280"/>
        <w:ind w:left="240" w:hanging="160"/>
      </w:pPr>
      <w:r>
        <w:t xml:space="preserve">– 미국 소매판매는 6월까지 9개월 연속 증가(NRF 발표). 여름 세일과 개학 시즌 조기 구매가 견인했다.</w:t>
      </w:r>
    </w:p>
    <w:p>
      <w:pPr>
        <w:spacing w:after="80" w:line="280"/>
        <w:ind w:left="240" w:hanging="160"/>
      </w:pPr>
      <w:r>
        <w:t xml:space="preserve">– 주요 임원 인사: Columbia Sportswear가 SOREL 신임 사장에 Joe Vernachio(전 Allbirds CEO) 선임. Brooks Running·LOWA USA·Cabot Hosiery·OrthoLite 등에서도 리더십 교체가 이어졌다.</w:t>
      </w:r>
    </w:p>
    <w:p>
      <w:pPr>
        <w:spacing w:after="80" w:line="280"/>
        <w:ind w:left="240" w:hanging="160"/>
      </w:pPr>
      <w:r>
        <w:t xml:space="preserve">– 신생 러닝 브랜드 'JANUARY' 출범. 데뷔 모델 Scignal(195달러)은 두꺼운 폼 스택 대신 얇은 듀얼 밀도 미드솔로 차별화를 꾀한다.</w:t>
      </w:r>
    </w:p>
    <w:p>
      <w:pPr>
        <w:spacing w:after="80" w:line="280"/>
        <w:ind w:left="240" w:hanging="160"/>
      </w:pPr>
      <w:r>
        <w:t xml:space="preserve">– Circana 조사 기준 개학 시즌 소비자의 57%가 가격 상승을 우려하며, 스니커즈는 여전히 개학 신발 매출의 핵심이다(5~18세 아동 스니커즈 연매출의 20%가 7~8월에 집중).</w:t>
      </w:r>
    </w:p>
    <w:p>
      <w:pPr>
        <w:spacing w:after="60" w:before="120"/>
        <w:jc w:val="center"/>
      </w:pPr>
      <w:r>
        <w:drawing>
          <wp:inline distT="0" distB="0" distL="0" distR="0">
            <wp:extent cx="5762625"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486150"/>
                    </a:xfrm>
                    <a:prstGeom prst="rect">
                      <a:avLst/>
                    </a:prstGeom>
                  </pic:spPr>
                </pic:pic>
              </a:graphicData>
            </a:graphic>
          </wp:inline>
        </w:drawing>
      </w:r>
    </w:p>
    <w:p>
      <w:pPr>
        <w:spacing w:after="240"/>
        <w:jc w:val="center"/>
      </w:pPr>
      <w:r>
        <w:rPr>
          <w:i/>
          <w:iCs/>
          <w:color w:val="666666"/>
          <w:sz w:val="18"/>
          <w:szCs w:val="18"/>
        </w:rPr>
        <w:t xml:space="preserve">원문 p.8-9 — ECCO Elevate 신제품 및 업계 파트너십 기사</w:t>
      </w:r>
    </w:p>
    <w:p>
      <w:pPr>
        <w:pStyle w:val="Heading1"/>
        <w:spacing w:after="160" w:before="360"/>
      </w:pPr>
      <w:r>
        <w:t xml:space="preserve">3. Shop Talk — 독립 소매업체가 말하는 AI·기술·관세·개학 시즌</w:t>
      </w:r>
    </w:p>
    <w:p>
      <w:pPr>
        <w:spacing w:after="160" w:line="300"/>
        <w:jc w:val="both"/>
      </w:pPr>
      <w:r>
        <w:t xml:space="preserve">Beck's Shoes, Abbadabba's, The Heel Shoe Fitters, Lucky Shoes, Dardano's Shoes, Lamey Wellehan, Tenni-Moc's 등 독립 신발 매장 대표들을 인터뷰했다.</w:t>
      </w:r>
    </w:p>
    <w:p>
      <w:pPr>
        <w:spacing w:after="80" w:line="280"/>
        <w:ind w:left="240" w:hanging="160"/>
      </w:pPr>
      <w:r>
        <w:t xml:space="preserve">– AI: 보고서 요약·마케팅 콘텐츠 제작·재고 분석 등에 초기 단계로 도입 중. 대다수가 "AI는 사람을 대체하는 게 아니라 관리 업무 시간을 줄여주는 도구"라는 데 공감했다.</w:t>
      </w:r>
    </w:p>
    <w:p>
      <w:pPr>
        <w:spacing w:after="80" w:line="280"/>
        <w:ind w:left="240" w:hanging="160"/>
      </w:pPr>
      <w:r>
        <w:t xml:space="preserve">– 관세: 매입을 더 신중하게 조정하고 있으나 급격한 축소는 없었고, 오히려 평균 주문금액(AOV)이 상승했다는 답변도 있었다. 공통적으로 "예측 불가능성" 자체가 가장 큰 어려움으로 꼽혔다.</w:t>
      </w:r>
    </w:p>
    <w:p>
      <w:pPr>
        <w:spacing w:after="80" w:line="280"/>
        <w:ind w:left="240" w:hanging="160"/>
      </w:pPr>
      <w:r>
        <w:t xml:space="preserve">– 매장 기술: 발 스캐너(Albert Foot Scanner 등) 도입, POS·재고·로열티 시스템 통합, 매장 트래픽 카운팅 등이 확산되고 있다.</w:t>
      </w:r>
    </w:p>
    <w:p>
      <w:pPr>
        <w:spacing w:after="80" w:line="280"/>
        <w:ind w:left="240" w:hanging="160"/>
      </w:pPr>
      <w:r>
        <w:t xml:space="preserve">– 개학 시즌: 지역별 편차가 크다. 오하이오는 세금 면제 기간이 14일에서 3일로 줄어 특수가 위축될 전망인 반면, 일부 매장은 교사 대상 편안화 판매를 새 기회로 보고 있다.</w:t>
      </w:r>
    </w:p>
    <w:p>
      <w:pPr>
        <w:spacing w:after="60" w:before="120"/>
        <w:jc w:val="center"/>
      </w:pPr>
      <w:r>
        <w:drawing>
          <wp:inline distT="0" distB="0" distL="0" distR="0">
            <wp:extent cx="5762625"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486150"/>
                    </a:xfrm>
                    <a:prstGeom prst="rect">
                      <a:avLst/>
                    </a:prstGeom>
                  </pic:spPr>
                </pic:pic>
              </a:graphicData>
            </a:graphic>
          </wp:inline>
        </w:drawing>
      </w:r>
    </w:p>
    <w:p>
      <w:pPr>
        <w:spacing w:after="240"/>
        <w:jc w:val="center"/>
      </w:pPr>
      <w:r>
        <w:rPr>
          <w:i/>
          <w:iCs/>
          <w:color w:val="666666"/>
          <w:sz w:val="18"/>
          <w:szCs w:val="18"/>
        </w:rPr>
        <w:t xml:space="preserve">원문 p.16-17 — Shop Talk: 독립 소매업체 설문 및 매장 현장 사진</w:t>
      </w:r>
    </w:p>
    <w:p>
      <w:pPr>
        <w:pStyle w:val="Heading1"/>
        <w:spacing w:after="160" w:before="360"/>
      </w:pPr>
      <w:r>
        <w:t xml:space="preserve">4. Step To It — 움직임을 우선하는 스니커즈</w:t>
      </w:r>
    </w:p>
    <w:p>
      <w:pPr>
        <w:spacing w:after="160" w:line="300"/>
        <w:jc w:val="both"/>
      </w:pPr>
      <w:r>
        <w:t xml:space="preserve">가볍고 반응성 좋은 쿠셔닝, 올데이 착용감을 갖춘 라이프스타일 스니커즈가 계속 진화하고 있다. 소비자들이 EVA·폼 소재에 대한 지식이 늘면서 '에너지 리턴'을 직접 요구하는 경향이 뚜렷해졌고, 발레 스니커즈처럼 패션과 편안함을 동시에 잡은 스타일이 인기다. 남성 와이드 핏 수요도 부각됐다 — Stoke Shoes에 따르면 남성의 최대 75%가 넓은 발을 가졌지만 실제 와이드 신발을 신는 비율은 25%에 불과하다.</w:t>
      </w:r>
    </w:p>
    <w:p>
      <w:pPr>
        <w:spacing w:after="160" w:line="300"/>
        <w:jc w:val="both"/>
      </w:pPr>
      <w:r>
        <w:t xml:space="preserve">소개된 대표 제품으로는 Rieker Hobart, Xelero Journey, Skechers Slip-ins Aero Burst, Topo Athletic Specter 3, Taos Mega Star, ECCO June, Revitalign Lexi, Alegria Demmi, Camper Pelotas Soller, Dr. Scholl's Time Off, Finn Comfort Ikebukuro, Vitasole Allure 등이 있다(원문 p.26-31에 제품별 사진과 가격 수록).</w:t>
      </w:r>
    </w:p>
    <w:p>
      <w:pPr>
        <w:spacing w:after="60" w:before="120"/>
        <w:jc w:val="center"/>
      </w:pPr>
      <w:r>
        <w:drawing>
          <wp:inline distT="0" distB="0" distL="0" distR="0">
            <wp:extent cx="5762625"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486150"/>
                    </a:xfrm>
                    <a:prstGeom prst="rect">
                      <a:avLst/>
                    </a:prstGeom>
                  </pic:spPr>
                </pic:pic>
              </a:graphicData>
            </a:graphic>
          </wp:inline>
        </w:drawing>
      </w:r>
    </w:p>
    <w:p>
      <w:pPr>
        <w:spacing w:after="240"/>
        <w:jc w:val="center"/>
      </w:pPr>
      <w:r>
        <w:rPr>
          <w:i/>
          <w:iCs/>
          <w:color w:val="666666"/>
          <w:sz w:val="18"/>
          <w:szCs w:val="18"/>
        </w:rPr>
        <w:t xml:space="preserve">원문 p.24-25 — Step To It 특집 오프닝 화보</w:t>
      </w:r>
    </w:p>
    <w:p>
      <w:pPr>
        <w:pStyle w:val="Heading1"/>
        <w:spacing w:after="160" w:before="360"/>
      </w:pPr>
      <w:r>
        <w:t xml:space="preserve">5. Boot Book: "No Compromises" — 부츠의 성능·스타일·다용도성</w:t>
      </w:r>
    </w:p>
    <w:p>
      <w:pPr>
        <w:spacing w:after="160" w:line="300"/>
        <w:jc w:val="both"/>
      </w:pPr>
      <w:r>
        <w:t xml:space="preserve">올해 부츠 특집의 핵심 메시지는 '올데이 편안함'이다. 워크부츠 브랜드들은 경량 소재, 반응형 쿠셔닝, 통기성, 넓은 토박스를 앞다퉈 강조하며, Warson의 XTR Extra Wide Toe Box, 풋스캐닝 데이터로 설계한 Red Wing IronFlex(BOA 시스템), HexArmor ChromeX1 등이 대표적이다. 메탈 프리 안전화 수요도 늘고 있는데, Juno Jones의 여성용 안전화 Leeza가 그 예다.</w:t>
      </w:r>
    </w:p>
    <w:p>
      <w:pPr>
        <w:spacing w:after="160" w:line="300"/>
        <w:jc w:val="both"/>
      </w:pPr>
      <w:r>
        <w:t xml:space="preserve">라이프스타일·아웃도어 부츠는 도시와 야외를 넘나드는 다용도성이 핵심 트렌드로, ECCO·Taos·Blundstone·Remonte 등이 프리미엄 소재와 드레시-캐주얼 혼합 스타일을 내세운다. 아웃도어 카테고리에서는 The North Face Fastpack Mid, Xtratuf Ankle Deck Boot, Blundstone Terrain Series(신규 Avalon Gecko TPU 아웃솔) 등이 눈에 띈다(제품 사진은 원문 p.36-57).</w:t>
      </w:r>
    </w:p>
    <w:p>
      <w:pPr>
        <w:spacing w:after="60" w:before="120"/>
        <w:jc w:val="center"/>
      </w:pPr>
      <w:r>
        <w:drawing>
          <wp:inline distT="0" distB="0" distL="0" distR="0">
            <wp:extent cx="5762625"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486150"/>
                    </a:xfrm>
                    <a:prstGeom prst="rect">
                      <a:avLst/>
                    </a:prstGeom>
                  </pic:spPr>
                </pic:pic>
              </a:graphicData>
            </a:graphic>
          </wp:inline>
        </w:drawing>
      </w:r>
    </w:p>
    <w:p>
      <w:pPr>
        <w:spacing w:after="240"/>
        <w:jc w:val="center"/>
      </w:pPr>
      <w:r>
        <w:rPr>
          <w:i/>
          <w:iCs/>
          <w:color w:val="666666"/>
          <w:sz w:val="18"/>
          <w:szCs w:val="18"/>
        </w:rPr>
        <w:t xml:space="preserve">원문 p.34-35 — Boot Book 특집 타이틀 및 워크부츠 트렌드 기사</w:t>
      </w:r>
    </w:p>
    <w:p>
      <w:pPr>
        <w:pStyle w:val="Heading1"/>
        <w:spacing w:after="160" w:before="360"/>
      </w:pPr>
      <w:r>
        <w:t xml:space="preserve">6. Business Insight — "AI 파워드 슈즈 스토어: 실체와 과장"</w:t>
      </w:r>
    </w:p>
    <w:p>
      <w:pPr>
        <w:spacing w:after="160" w:line="300"/>
        <w:jc w:val="both"/>
      </w:pPr>
      <w:r>
        <w:t xml:space="preserve">50년 경력의 소매 컨설턴트 Alan Miklofsky가 신발 소매 업계에서 AI를 둘러싼 기대와 현실을 짚은 칼럼이다.</w:t>
      </w:r>
    </w:p>
    <w:p>
      <w:pPr>
        <w:spacing w:after="80" w:line="280"/>
        <w:ind w:left="240" w:hanging="160"/>
      </w:pPr>
      <w:r>
        <w:t xml:space="preserve">– AI는 '디지털 직원'이 아니라 고급 분석 도구에 가깝다. 방대한 데이터에서 패턴을 찾는 데는 강하지만 인간의 경험과 판단을 대체하지는 못한다.</w:t>
      </w:r>
    </w:p>
    <w:p>
      <w:pPr>
        <w:spacing w:after="80" w:line="280"/>
        <w:ind w:left="240" w:hanging="160"/>
      </w:pPr>
      <w:r>
        <w:t xml:space="preserve">– 가장 유의미한 활용처는 재고 관리다. 판매 이력·계절 트렌드·리드타임 분석을 통해 수요 예측 정확도를 높일 수 있다.</w:t>
      </w:r>
    </w:p>
    <w:p>
      <w:pPr>
        <w:spacing w:after="80" w:line="280"/>
        <w:ind w:left="240" w:hanging="160"/>
      </w:pPr>
      <w:r>
        <w:t xml:space="preserve">– 마케팅 콘텐츠 생성은 유용하지만 어디까지나 '초안' 도구이며, 사람의 검수와 브랜드 목소리 유지가 필수다.</w:t>
      </w:r>
    </w:p>
    <w:p>
      <w:pPr>
        <w:spacing w:after="80" w:line="280"/>
        <w:ind w:left="240" w:hanging="160"/>
      </w:pPr>
      <w:r>
        <w:t xml:space="preserve">– 챗봇은 매장 시간·반품 정책 등 단순 문의에는 효과적이나, 피팅처럼 공감과 경험이 필요한 상담을 대체할 수 없다.</w:t>
      </w:r>
    </w:p>
    <w:p>
      <w:pPr>
        <w:spacing w:after="80" w:line="280"/>
        <w:ind w:left="240" w:hanging="160"/>
      </w:pPr>
      <w:r>
        <w:t xml:space="preserve">– 가장 큰 '과장'은 완전 자율 매장이다. 신발 소매는 근본적으로 관계 기반 비즈니스이며, 미래에 살아남는 매장은 인간을 배제하는 곳이 아니라 기술로 인간의 역량을 강화하는 곳이라고 결론짓는다. 벤더·영업대표의 역할도 데이터 해석과 신뢰 구축 파트너로서 오히려 더 중요해질 것으로 전망했다.</w:t>
      </w:r>
    </w:p>
    <w:p>
      <w:pPr>
        <w:spacing w:after="60" w:before="120"/>
        <w:jc w:val="center"/>
      </w:pPr>
      <w:r>
        <w:drawing>
          <wp:inline distT="0" distB="0" distL="0" distR="0">
            <wp:extent cx="5762625"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486150"/>
                    </a:xfrm>
                    <a:prstGeom prst="rect">
                      <a:avLst/>
                    </a:prstGeom>
                  </pic:spPr>
                </pic:pic>
              </a:graphicData>
            </a:graphic>
          </wp:inline>
        </w:drawing>
      </w:r>
    </w:p>
    <w:p>
      <w:pPr>
        <w:spacing w:after="240"/>
        <w:jc w:val="center"/>
      </w:pPr>
      <w:r>
        <w:rPr>
          <w:i/>
          <w:iCs/>
          <w:color w:val="666666"/>
          <w:sz w:val="18"/>
          <w:szCs w:val="18"/>
        </w:rPr>
        <w:t xml:space="preserve">원문 p.58-59 — AI 파워드 슈즈 스토어 칼럼 및 인포그래픽</w:t>
      </w:r>
    </w:p>
    <w:p>
      <w:pPr>
        <w:pStyle w:val="Heading1"/>
        <w:spacing w:after="160" w:before="360"/>
      </w:pPr>
      <w:r>
        <w:t xml:space="preserve">7. Business Report Quarterly — 2026년 2분기</w:t>
      </w:r>
    </w:p>
    <w:p>
      <w:pPr>
        <w:spacing w:after="160" w:line="300"/>
        <w:jc w:val="both"/>
      </w:pPr>
      <w:r>
        <w:t xml:space="preserve">2분기는 강한 증시 반등, 지정학적 긴장 완화, 유가 하락이 겹치며 S&amp;P500·나스닥이 분기 기준 최대 상승폭을 기록했다. 미국 GDP는 4월 부진 이후 6월 2.1%로 반등했고 소비자심리지수도 소폭 개선됐다. 신발 소매가는 전년 대비 4% 이상 올랐으며, 관세는 2월 대법원이 IEEPA 관세를 무효화했음에도 소송·공급망 혼란 등 여파가 계속되고 있다.</w:t>
      </w:r>
    </w:p>
    <w:p>
      <w:pPr>
        <w:spacing w:after="160" w:line="300"/>
        <w:jc w:val="both"/>
      </w:pPr>
      <w:r>
        <w:t xml:space="preserve">Footwear Insight Index(2024년 1월 2일 = 100 기준)의 2분기(4/7~6/30) 결과, Retail Index는 +10%, Brand Index는 +6% 상승했다. 주요 종목 등락은 아래와 같다.</w:t>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800"/>
      </w:tblGrid>
      <w:tr>
        <w:trPr>
          <w:tblHeader/>
        </w:trPr>
        <w:tc>
          <w:tcPr>
            <w:tcW w:type="dxa" w:w="1400"/>
            <w:shd w:fill="1F3864" w:color="auto" w:val="clear"/>
            <w:tcMar>
              <w:top w:type="dxa" w:w="60"/>
              <w:left w:type="dxa" w:w="100"/>
              <w:bottom w:type="dxa" w:w="60"/>
              <w:right w:type="dxa" w:w="100"/>
            </w:tcMar>
            <w:vAlign w:val="center"/>
          </w:tcPr>
          <w:p>
            <w:pPr>
              <w:jc w:val="left"/>
            </w:pPr>
            <w:r>
              <w:rPr>
                <w:b/>
                <w:bCs/>
                <w:sz w:val="20"/>
                <w:szCs w:val="20"/>
              </w:rPr>
              <w:t xml:space="preserve">구분</w:t>
            </w:r>
          </w:p>
        </w:tc>
        <w:tc>
          <w:tcPr>
            <w:tcW w:type="dxa" w:w="2600"/>
            <w:shd w:fill="1F3864" w:color="auto" w:val="clear"/>
            <w:tcMar>
              <w:top w:type="dxa" w:w="60"/>
              <w:left w:type="dxa" w:w="100"/>
              <w:bottom w:type="dxa" w:w="60"/>
              <w:right w:type="dxa" w:w="100"/>
            </w:tcMar>
            <w:vAlign w:val="center"/>
          </w:tcPr>
          <w:p>
            <w:pPr>
              <w:jc w:val="left"/>
            </w:pPr>
            <w:r>
              <w:rPr>
                <w:b/>
                <w:bCs/>
                <w:sz w:val="20"/>
                <w:szCs w:val="20"/>
              </w:rPr>
              <w:t xml:space="preserve">종목</w:t>
            </w:r>
          </w:p>
        </w:tc>
        <w:tc>
          <w:tcPr>
            <w:tcW w:type="dxa" w:w="1800"/>
            <w:shd w:fill="1F3864" w:color="auto" w:val="clear"/>
            <w:tcMar>
              <w:top w:type="dxa" w:w="60"/>
              <w:left w:type="dxa" w:w="100"/>
              <w:bottom w:type="dxa" w:w="60"/>
              <w:right w:type="dxa" w:w="100"/>
            </w:tcMar>
            <w:vAlign w:val="center"/>
          </w:tcPr>
          <w:p>
            <w:pPr>
              <w:jc w:val="left"/>
            </w:pPr>
            <w:r>
              <w:rPr>
                <w:b/>
                <w:bCs/>
                <w:sz w:val="20"/>
                <w:szCs w:val="20"/>
              </w:rPr>
              <w:t xml:space="preserve">2분기 등락률</w:t>
            </w:r>
          </w:p>
        </w:tc>
      </w:tr>
      <w:tr>
        <w:tc>
          <w:tcPr>
            <w:tcW w:type="dxa" w:w="1400"/>
            <w:shd w:fill="F2F2F2" w:color="auto" w:val="clear"/>
            <w:tcMar>
              <w:top w:type="dxa" w:w="60"/>
              <w:left w:type="dxa" w:w="100"/>
              <w:bottom w:type="dxa" w:w="60"/>
              <w:right w:type="dxa" w:w="100"/>
            </w:tcMar>
            <w:vAlign w:val="center"/>
          </w:tcPr>
          <w:p>
            <w:pPr>
              <w:jc w:val="left"/>
            </w:pPr>
            <w:r>
              <w:rPr>
                <w:b w:val="false"/>
                <w:bCs w:val="false"/>
                <w:sz w:val="20"/>
                <w:szCs w:val="20"/>
              </w:rPr>
              <w:t xml:space="preserve">Retail</w:t>
            </w:r>
          </w:p>
        </w:tc>
        <w:tc>
          <w:tcPr>
            <w:tcW w:type="dxa" w:w="2600"/>
            <w:shd w:fill="F2F2F2" w:color="auto" w:val="clear"/>
            <w:tcMar>
              <w:top w:type="dxa" w:w="60"/>
              <w:left w:type="dxa" w:w="100"/>
              <w:bottom w:type="dxa" w:w="60"/>
              <w:right w:type="dxa" w:w="100"/>
            </w:tcMar>
            <w:vAlign w:val="center"/>
          </w:tcPr>
          <w:p>
            <w:pPr>
              <w:jc w:val="left"/>
            </w:pPr>
            <w:r>
              <w:rPr>
                <w:b w:val="false"/>
                <w:bCs w:val="false"/>
                <w:sz w:val="20"/>
                <w:szCs w:val="20"/>
              </w:rPr>
              <w:t xml:space="preserve">Retail Index 전체</w:t>
            </w:r>
          </w:p>
        </w:tc>
        <w:tc>
          <w:tcPr>
            <w:tcW w:type="dxa" w:w="1800"/>
            <w:shd w:fill="F2F2F2" w:color="auto" w:val="clear"/>
            <w:tcMar>
              <w:top w:type="dxa" w:w="60"/>
              <w:left w:type="dxa" w:w="100"/>
              <w:bottom w:type="dxa" w:w="60"/>
              <w:right w:type="dxa" w:w="100"/>
            </w:tcMar>
            <w:vAlign w:val="center"/>
          </w:tcPr>
          <w:p>
            <w:pPr>
              <w:jc w:val="center"/>
            </w:pPr>
            <w:r>
              <w:rPr>
                <w:b w:val="false"/>
                <w:bCs w:val="false"/>
                <w:sz w:val="20"/>
                <w:szCs w:val="20"/>
              </w:rPr>
              <w:t xml:space="preserve">+10%</w:t>
            </w:r>
          </w:p>
        </w:tc>
      </w:tr>
      <w:tr>
        <w:tc>
          <w:tcPr>
            <w:tcW w:type="dxa" w:w="1400"/>
            <w:shd w:fill="FFFFFF" w:color="auto" w:val="clear"/>
            <w:tcMar>
              <w:top w:type="dxa" w:w="60"/>
              <w:left w:type="dxa" w:w="100"/>
              <w:bottom w:type="dxa" w:w="60"/>
              <w:right w:type="dxa" w:w="100"/>
            </w:tcMar>
            <w:vAlign w:val="center"/>
          </w:tcPr>
          <w:p>
            <w:pPr>
              <w:jc w:val="left"/>
            </w:pPr>
            <w:r>
              <w:rPr>
                <w:b w:val="false"/>
                <w:bCs w:val="false"/>
                <w:sz w:val="20"/>
                <w:szCs w:val="20"/>
              </w:rPr>
              <w:t xml:space="preserve">Retail</w:t>
            </w:r>
          </w:p>
        </w:tc>
        <w:tc>
          <w:tcPr>
            <w:tcW w:type="dxa" w:w="2600"/>
            <w:shd w:fill="FFFFFF" w:color="auto" w:val="clear"/>
            <w:tcMar>
              <w:top w:type="dxa" w:w="60"/>
              <w:left w:type="dxa" w:w="100"/>
              <w:bottom w:type="dxa" w:w="60"/>
              <w:right w:type="dxa" w:w="100"/>
            </w:tcMar>
            <w:vAlign w:val="center"/>
          </w:tcPr>
          <w:p>
            <w:pPr>
              <w:jc w:val="left"/>
            </w:pPr>
            <w:r>
              <w:rPr>
                <w:b w:val="false"/>
                <w:bCs w:val="false"/>
                <w:sz w:val="20"/>
                <w:szCs w:val="20"/>
              </w:rPr>
              <w:t xml:space="preserve">JD Sports and Fashion</w:t>
            </w:r>
          </w:p>
        </w:tc>
        <w:tc>
          <w:tcPr>
            <w:tcW w:type="dxa" w:w="1800"/>
            <w:shd w:fill="FFFFFF" w:color="auto" w:val="clear"/>
            <w:tcMar>
              <w:top w:type="dxa" w:w="60"/>
              <w:left w:type="dxa" w:w="100"/>
              <w:bottom w:type="dxa" w:w="60"/>
              <w:right w:type="dxa" w:w="100"/>
            </w:tcMar>
            <w:vAlign w:val="center"/>
          </w:tcPr>
          <w:p>
            <w:pPr>
              <w:jc w:val="center"/>
            </w:pPr>
            <w:r>
              <w:rPr>
                <w:b w:val="false"/>
                <w:bCs w:val="false"/>
                <w:sz w:val="20"/>
                <w:szCs w:val="20"/>
              </w:rPr>
              <w:t xml:space="preserve">+22%</w:t>
            </w:r>
          </w:p>
        </w:tc>
      </w:tr>
      <w:tr>
        <w:tc>
          <w:tcPr>
            <w:tcW w:type="dxa" w:w="1400"/>
            <w:shd w:fill="F2F2F2" w:color="auto" w:val="clear"/>
            <w:tcMar>
              <w:top w:type="dxa" w:w="60"/>
              <w:left w:type="dxa" w:w="100"/>
              <w:bottom w:type="dxa" w:w="60"/>
              <w:right w:type="dxa" w:w="100"/>
            </w:tcMar>
            <w:vAlign w:val="center"/>
          </w:tcPr>
          <w:p>
            <w:pPr>
              <w:jc w:val="left"/>
            </w:pPr>
            <w:r>
              <w:rPr>
                <w:b w:val="false"/>
                <w:bCs w:val="false"/>
                <w:sz w:val="20"/>
                <w:szCs w:val="20"/>
              </w:rPr>
              <w:t xml:space="preserve">Retail</w:t>
            </w:r>
          </w:p>
        </w:tc>
        <w:tc>
          <w:tcPr>
            <w:tcW w:type="dxa" w:w="2600"/>
            <w:shd w:fill="F2F2F2" w:color="auto" w:val="clear"/>
            <w:tcMar>
              <w:top w:type="dxa" w:w="60"/>
              <w:left w:type="dxa" w:w="100"/>
              <w:bottom w:type="dxa" w:w="60"/>
              <w:right w:type="dxa" w:w="100"/>
            </w:tcMar>
            <w:vAlign w:val="center"/>
          </w:tcPr>
          <w:p>
            <w:pPr>
              <w:jc w:val="left"/>
            </w:pPr>
            <w:r>
              <w:rPr>
                <w:b w:val="false"/>
                <w:bCs w:val="false"/>
                <w:sz w:val="20"/>
                <w:szCs w:val="20"/>
              </w:rPr>
              <w:t xml:space="preserve">Macy's</w:t>
            </w:r>
          </w:p>
        </w:tc>
        <w:tc>
          <w:tcPr>
            <w:tcW w:type="dxa" w:w="1800"/>
            <w:shd w:fill="F2F2F2" w:color="auto" w:val="clear"/>
            <w:tcMar>
              <w:top w:type="dxa" w:w="60"/>
              <w:left w:type="dxa" w:w="100"/>
              <w:bottom w:type="dxa" w:w="60"/>
              <w:right w:type="dxa" w:w="100"/>
            </w:tcMar>
            <w:vAlign w:val="center"/>
          </w:tcPr>
          <w:p>
            <w:pPr>
              <w:jc w:val="center"/>
            </w:pPr>
            <w:r>
              <w:rPr>
                <w:b w:val="false"/>
                <w:bCs w:val="false"/>
                <w:sz w:val="20"/>
                <w:szCs w:val="20"/>
              </w:rPr>
              <w:t xml:space="preserve">+24%</w:t>
            </w:r>
          </w:p>
        </w:tc>
      </w:tr>
      <w:tr>
        <w:tc>
          <w:tcPr>
            <w:tcW w:type="dxa" w:w="1400"/>
            <w:shd w:fill="FFFFFF" w:color="auto" w:val="clear"/>
            <w:tcMar>
              <w:top w:type="dxa" w:w="60"/>
              <w:left w:type="dxa" w:w="100"/>
              <w:bottom w:type="dxa" w:w="60"/>
              <w:right w:type="dxa" w:w="100"/>
            </w:tcMar>
            <w:vAlign w:val="center"/>
          </w:tcPr>
          <w:p>
            <w:pPr>
              <w:jc w:val="left"/>
            </w:pPr>
            <w:r>
              <w:rPr>
                <w:b w:val="false"/>
                <w:bCs w:val="false"/>
                <w:sz w:val="20"/>
                <w:szCs w:val="20"/>
              </w:rPr>
              <w:t xml:space="preserve">Retail</w:t>
            </w:r>
          </w:p>
        </w:tc>
        <w:tc>
          <w:tcPr>
            <w:tcW w:type="dxa" w:w="2600"/>
            <w:shd w:fill="FFFFFF" w:color="auto" w:val="clear"/>
            <w:tcMar>
              <w:top w:type="dxa" w:w="60"/>
              <w:left w:type="dxa" w:w="100"/>
              <w:bottom w:type="dxa" w:w="60"/>
              <w:right w:type="dxa" w:w="100"/>
            </w:tcMar>
            <w:vAlign w:val="center"/>
          </w:tcPr>
          <w:p>
            <w:pPr>
              <w:jc w:val="left"/>
            </w:pPr>
            <w:r>
              <w:rPr>
                <w:b w:val="false"/>
                <w:bCs w:val="false"/>
                <w:sz w:val="20"/>
                <w:szCs w:val="20"/>
              </w:rPr>
              <w:t xml:space="preserve">Genesco</w:t>
            </w:r>
          </w:p>
        </w:tc>
        <w:tc>
          <w:tcPr>
            <w:tcW w:type="dxa" w:w="1800"/>
            <w:shd w:fill="FFFFFF" w:color="auto" w:val="clear"/>
            <w:tcMar>
              <w:top w:type="dxa" w:w="60"/>
              <w:left w:type="dxa" w:w="100"/>
              <w:bottom w:type="dxa" w:w="60"/>
              <w:right w:type="dxa" w:w="100"/>
            </w:tcMar>
            <w:vAlign w:val="center"/>
          </w:tcPr>
          <w:p>
            <w:pPr>
              <w:jc w:val="center"/>
            </w:pPr>
            <w:r>
              <w:rPr>
                <w:b w:val="false"/>
                <w:bCs w:val="false"/>
                <w:sz w:val="20"/>
                <w:szCs w:val="20"/>
              </w:rPr>
              <w:t xml:space="preserve">+16%</w:t>
            </w:r>
          </w:p>
        </w:tc>
      </w:tr>
      <w:tr>
        <w:tc>
          <w:tcPr>
            <w:tcW w:type="dxa" w:w="1400"/>
            <w:shd w:fill="F2F2F2" w:color="auto" w:val="clear"/>
            <w:tcMar>
              <w:top w:type="dxa" w:w="60"/>
              <w:left w:type="dxa" w:w="100"/>
              <w:bottom w:type="dxa" w:w="60"/>
              <w:right w:type="dxa" w:w="100"/>
            </w:tcMar>
            <w:vAlign w:val="center"/>
          </w:tcPr>
          <w:p>
            <w:pPr>
              <w:jc w:val="left"/>
            </w:pPr>
            <w:r>
              <w:rPr>
                <w:b w:val="false"/>
                <w:bCs w:val="false"/>
                <w:sz w:val="20"/>
                <w:szCs w:val="20"/>
              </w:rPr>
              <w:t xml:space="preserve">Retail</w:t>
            </w:r>
          </w:p>
        </w:tc>
        <w:tc>
          <w:tcPr>
            <w:tcW w:type="dxa" w:w="2600"/>
            <w:shd w:fill="F2F2F2" w:color="auto" w:val="clear"/>
            <w:tcMar>
              <w:top w:type="dxa" w:w="60"/>
              <w:left w:type="dxa" w:w="100"/>
              <w:bottom w:type="dxa" w:w="60"/>
              <w:right w:type="dxa" w:w="100"/>
            </w:tcMar>
            <w:vAlign w:val="center"/>
          </w:tcPr>
          <w:p>
            <w:pPr>
              <w:jc w:val="left"/>
            </w:pPr>
            <w:r>
              <w:rPr>
                <w:b w:val="false"/>
                <w:bCs w:val="false"/>
                <w:sz w:val="20"/>
                <w:szCs w:val="20"/>
              </w:rPr>
              <w:t xml:space="preserve">Zumiez</w:t>
            </w:r>
          </w:p>
        </w:tc>
        <w:tc>
          <w:tcPr>
            <w:tcW w:type="dxa" w:w="1800"/>
            <w:shd w:fill="F2F2F2" w:color="auto" w:val="clear"/>
            <w:tcMar>
              <w:top w:type="dxa" w:w="60"/>
              <w:left w:type="dxa" w:w="100"/>
              <w:bottom w:type="dxa" w:w="60"/>
              <w:right w:type="dxa" w:w="100"/>
            </w:tcMar>
            <w:vAlign w:val="center"/>
          </w:tcPr>
          <w:p>
            <w:pPr>
              <w:jc w:val="center"/>
            </w:pPr>
            <w:r>
              <w:rPr>
                <w:b w:val="false"/>
                <w:bCs w:val="false"/>
                <w:sz w:val="20"/>
                <w:szCs w:val="20"/>
              </w:rPr>
              <w:t xml:space="preserve">-22%</w:t>
            </w:r>
          </w:p>
        </w:tc>
      </w:tr>
      <w:tr>
        <w:tc>
          <w:tcPr>
            <w:tcW w:type="dxa" w:w="1400"/>
            <w:shd w:fill="FFFFFF" w:color="auto" w:val="clear"/>
            <w:tcMar>
              <w:top w:type="dxa" w:w="60"/>
              <w:left w:type="dxa" w:w="100"/>
              <w:bottom w:type="dxa" w:w="60"/>
              <w:right w:type="dxa" w:w="100"/>
            </w:tcMar>
            <w:vAlign w:val="center"/>
          </w:tcPr>
          <w:p>
            <w:pPr>
              <w:jc w:val="left"/>
            </w:pPr>
            <w:r>
              <w:rPr>
                <w:b w:val="false"/>
                <w:bCs w:val="false"/>
                <w:sz w:val="20"/>
                <w:szCs w:val="20"/>
              </w:rPr>
              <w:t xml:space="preserve">Retail</w:t>
            </w:r>
          </w:p>
        </w:tc>
        <w:tc>
          <w:tcPr>
            <w:tcW w:type="dxa" w:w="2600"/>
            <w:shd w:fill="FFFFFF" w:color="auto" w:val="clear"/>
            <w:tcMar>
              <w:top w:type="dxa" w:w="60"/>
              <w:left w:type="dxa" w:w="100"/>
              <w:bottom w:type="dxa" w:w="60"/>
              <w:right w:type="dxa" w:w="100"/>
            </w:tcMar>
            <w:vAlign w:val="center"/>
          </w:tcPr>
          <w:p>
            <w:pPr>
              <w:jc w:val="left"/>
            </w:pPr>
            <w:r>
              <w:rPr>
                <w:b w:val="false"/>
                <w:bCs w:val="false"/>
                <w:sz w:val="20"/>
                <w:szCs w:val="20"/>
              </w:rPr>
              <w:t xml:space="preserve">Academy Sports + Outdoor</w:t>
            </w:r>
          </w:p>
        </w:tc>
        <w:tc>
          <w:tcPr>
            <w:tcW w:type="dxa" w:w="1800"/>
            <w:shd w:fill="FFFFFF" w:color="auto" w:val="clear"/>
            <w:tcMar>
              <w:top w:type="dxa" w:w="60"/>
              <w:left w:type="dxa" w:w="100"/>
              <w:bottom w:type="dxa" w:w="60"/>
              <w:right w:type="dxa" w:w="100"/>
            </w:tcMar>
            <w:vAlign w:val="center"/>
          </w:tcPr>
          <w:p>
            <w:pPr>
              <w:jc w:val="center"/>
            </w:pPr>
            <w:r>
              <w:rPr>
                <w:b w:val="false"/>
                <w:bCs w:val="false"/>
                <w:sz w:val="20"/>
                <w:szCs w:val="20"/>
              </w:rPr>
              <w:t xml:space="preserve">-18%</w:t>
            </w:r>
          </w:p>
        </w:tc>
      </w:tr>
      <w:tr>
        <w:tc>
          <w:tcPr>
            <w:tcW w:type="dxa" w:w="1400"/>
            <w:shd w:fill="F2F2F2" w:color="auto" w:val="clear"/>
            <w:tcMar>
              <w:top w:type="dxa" w:w="60"/>
              <w:left w:type="dxa" w:w="100"/>
              <w:bottom w:type="dxa" w:w="60"/>
              <w:right w:type="dxa" w:w="100"/>
            </w:tcMar>
            <w:vAlign w:val="center"/>
          </w:tcPr>
          <w:p>
            <w:pPr>
              <w:jc w:val="left"/>
            </w:pPr>
            <w:r>
              <w:rPr>
                <w:b w:val="false"/>
                <w:bCs w:val="false"/>
                <w:sz w:val="20"/>
                <w:szCs w:val="20"/>
              </w:rPr>
              <w:t xml:space="preserve">Brand</w:t>
            </w:r>
          </w:p>
        </w:tc>
        <w:tc>
          <w:tcPr>
            <w:tcW w:type="dxa" w:w="2600"/>
            <w:shd w:fill="F2F2F2" w:color="auto" w:val="clear"/>
            <w:tcMar>
              <w:top w:type="dxa" w:w="60"/>
              <w:left w:type="dxa" w:w="100"/>
              <w:bottom w:type="dxa" w:w="60"/>
              <w:right w:type="dxa" w:w="100"/>
            </w:tcMar>
            <w:vAlign w:val="center"/>
          </w:tcPr>
          <w:p>
            <w:pPr>
              <w:jc w:val="left"/>
            </w:pPr>
            <w:r>
              <w:rPr>
                <w:b w:val="false"/>
                <w:bCs w:val="false"/>
                <w:sz w:val="20"/>
                <w:szCs w:val="20"/>
              </w:rPr>
              <w:t xml:space="preserve">Brand Index 전체</w:t>
            </w:r>
          </w:p>
        </w:tc>
        <w:tc>
          <w:tcPr>
            <w:tcW w:type="dxa" w:w="1800"/>
            <w:shd w:fill="F2F2F2" w:color="auto" w:val="clear"/>
            <w:tcMar>
              <w:top w:type="dxa" w:w="60"/>
              <w:left w:type="dxa" w:w="100"/>
              <w:bottom w:type="dxa" w:w="60"/>
              <w:right w:type="dxa" w:w="100"/>
            </w:tcMar>
            <w:vAlign w:val="center"/>
          </w:tcPr>
          <w:p>
            <w:pPr>
              <w:jc w:val="center"/>
            </w:pPr>
            <w:r>
              <w:rPr>
                <w:b w:val="false"/>
                <w:bCs w:val="false"/>
                <w:sz w:val="20"/>
                <w:szCs w:val="20"/>
              </w:rPr>
              <w:t xml:space="preserve">+6%</w:t>
            </w:r>
          </w:p>
        </w:tc>
      </w:tr>
      <w:tr>
        <w:tc>
          <w:tcPr>
            <w:tcW w:type="dxa" w:w="1400"/>
            <w:shd w:fill="FFFFFF" w:color="auto" w:val="clear"/>
            <w:tcMar>
              <w:top w:type="dxa" w:w="60"/>
              <w:left w:type="dxa" w:w="100"/>
              <w:bottom w:type="dxa" w:w="60"/>
              <w:right w:type="dxa" w:w="100"/>
            </w:tcMar>
            <w:vAlign w:val="center"/>
          </w:tcPr>
          <w:p>
            <w:pPr>
              <w:jc w:val="left"/>
            </w:pPr>
            <w:r>
              <w:rPr>
                <w:b w:val="false"/>
                <w:bCs w:val="false"/>
                <w:sz w:val="20"/>
                <w:szCs w:val="20"/>
              </w:rPr>
              <w:t xml:space="preserve">Brand</w:t>
            </w:r>
          </w:p>
        </w:tc>
        <w:tc>
          <w:tcPr>
            <w:tcW w:type="dxa" w:w="2600"/>
            <w:shd w:fill="FFFFFF" w:color="auto" w:val="clear"/>
            <w:tcMar>
              <w:top w:type="dxa" w:w="60"/>
              <w:left w:type="dxa" w:w="100"/>
              <w:bottom w:type="dxa" w:w="60"/>
              <w:right w:type="dxa" w:w="100"/>
            </w:tcMar>
            <w:vAlign w:val="center"/>
          </w:tcPr>
          <w:p>
            <w:pPr>
              <w:jc w:val="left"/>
            </w:pPr>
            <w:r>
              <w:rPr>
                <w:b w:val="false"/>
                <w:bCs w:val="false"/>
                <w:sz w:val="20"/>
                <w:szCs w:val="20"/>
              </w:rPr>
              <w:t xml:space="preserve">Crocs</w:t>
            </w:r>
          </w:p>
        </w:tc>
        <w:tc>
          <w:tcPr>
            <w:tcW w:type="dxa" w:w="1800"/>
            <w:shd w:fill="FFFFFF" w:color="auto" w:val="clear"/>
            <w:tcMar>
              <w:top w:type="dxa" w:w="60"/>
              <w:left w:type="dxa" w:w="100"/>
              <w:bottom w:type="dxa" w:w="60"/>
              <w:right w:type="dxa" w:w="100"/>
            </w:tcMar>
            <w:vAlign w:val="center"/>
          </w:tcPr>
          <w:p>
            <w:pPr>
              <w:jc w:val="center"/>
            </w:pPr>
            <w:r>
              <w:rPr>
                <w:b w:val="false"/>
                <w:bCs w:val="false"/>
                <w:sz w:val="20"/>
                <w:szCs w:val="20"/>
              </w:rPr>
              <w:t xml:space="preserve">+34%</w:t>
            </w:r>
          </w:p>
        </w:tc>
      </w:tr>
      <w:tr>
        <w:tc>
          <w:tcPr>
            <w:tcW w:type="dxa" w:w="1400"/>
            <w:shd w:fill="F2F2F2" w:color="auto" w:val="clear"/>
            <w:tcMar>
              <w:top w:type="dxa" w:w="60"/>
              <w:left w:type="dxa" w:w="100"/>
              <w:bottom w:type="dxa" w:w="60"/>
              <w:right w:type="dxa" w:w="100"/>
            </w:tcMar>
            <w:vAlign w:val="center"/>
          </w:tcPr>
          <w:p>
            <w:pPr>
              <w:jc w:val="left"/>
            </w:pPr>
            <w:r>
              <w:rPr>
                <w:b w:val="false"/>
                <w:bCs w:val="false"/>
                <w:sz w:val="20"/>
                <w:szCs w:val="20"/>
              </w:rPr>
              <w:t xml:space="preserve">Brand</w:t>
            </w:r>
          </w:p>
        </w:tc>
        <w:tc>
          <w:tcPr>
            <w:tcW w:type="dxa" w:w="2600"/>
            <w:shd w:fill="F2F2F2" w:color="auto" w:val="clear"/>
            <w:tcMar>
              <w:top w:type="dxa" w:w="60"/>
              <w:left w:type="dxa" w:w="100"/>
              <w:bottom w:type="dxa" w:w="60"/>
              <w:right w:type="dxa" w:w="100"/>
            </w:tcMar>
            <w:vAlign w:val="center"/>
          </w:tcPr>
          <w:p>
            <w:pPr>
              <w:jc w:val="left"/>
            </w:pPr>
            <w:r>
              <w:rPr>
                <w:b w:val="false"/>
                <w:bCs w:val="false"/>
                <w:sz w:val="20"/>
                <w:szCs w:val="20"/>
              </w:rPr>
              <w:t xml:space="preserve">Adidas</w:t>
            </w:r>
          </w:p>
        </w:tc>
        <w:tc>
          <w:tcPr>
            <w:tcW w:type="dxa" w:w="1800"/>
            <w:shd w:fill="F2F2F2" w:color="auto" w:val="clear"/>
            <w:tcMar>
              <w:top w:type="dxa" w:w="60"/>
              <w:left w:type="dxa" w:w="100"/>
              <w:bottom w:type="dxa" w:w="60"/>
              <w:right w:type="dxa" w:w="100"/>
            </w:tcMar>
            <w:vAlign w:val="center"/>
          </w:tcPr>
          <w:p>
            <w:pPr>
              <w:jc w:val="center"/>
            </w:pPr>
            <w:r>
              <w:rPr>
                <w:b w:val="false"/>
                <w:bCs w:val="false"/>
                <w:sz w:val="20"/>
                <w:szCs w:val="20"/>
              </w:rPr>
              <w:t xml:space="preserve">+33%</w:t>
            </w:r>
          </w:p>
        </w:tc>
      </w:tr>
      <w:tr>
        <w:tc>
          <w:tcPr>
            <w:tcW w:type="dxa" w:w="1400"/>
            <w:shd w:fill="FFFFFF" w:color="auto" w:val="clear"/>
            <w:tcMar>
              <w:top w:type="dxa" w:w="60"/>
              <w:left w:type="dxa" w:w="100"/>
              <w:bottom w:type="dxa" w:w="60"/>
              <w:right w:type="dxa" w:w="100"/>
            </w:tcMar>
            <w:vAlign w:val="center"/>
          </w:tcPr>
          <w:p>
            <w:pPr>
              <w:jc w:val="left"/>
            </w:pPr>
            <w:r>
              <w:rPr>
                <w:b w:val="false"/>
                <w:bCs w:val="false"/>
                <w:sz w:val="20"/>
                <w:szCs w:val="20"/>
              </w:rPr>
              <w:t xml:space="preserve">Brand</w:t>
            </w:r>
          </w:p>
        </w:tc>
        <w:tc>
          <w:tcPr>
            <w:tcW w:type="dxa" w:w="2600"/>
            <w:shd w:fill="FFFFFF" w:color="auto" w:val="clear"/>
            <w:tcMar>
              <w:top w:type="dxa" w:w="60"/>
              <w:left w:type="dxa" w:w="100"/>
              <w:bottom w:type="dxa" w:w="60"/>
              <w:right w:type="dxa" w:w="100"/>
            </w:tcMar>
            <w:vAlign w:val="center"/>
          </w:tcPr>
          <w:p>
            <w:pPr>
              <w:jc w:val="left"/>
            </w:pPr>
            <w:r>
              <w:rPr>
                <w:b w:val="false"/>
                <w:bCs w:val="false"/>
                <w:sz w:val="20"/>
                <w:szCs w:val="20"/>
              </w:rPr>
              <w:t xml:space="preserve">Puma / Birkenstock</w:t>
            </w:r>
          </w:p>
        </w:tc>
        <w:tc>
          <w:tcPr>
            <w:tcW w:type="dxa" w:w="1800"/>
            <w:shd w:fill="FFFFFF" w:color="auto" w:val="clear"/>
            <w:tcMar>
              <w:top w:type="dxa" w:w="60"/>
              <w:left w:type="dxa" w:w="100"/>
              <w:bottom w:type="dxa" w:w="60"/>
              <w:right w:type="dxa" w:w="100"/>
            </w:tcMar>
            <w:vAlign w:val="center"/>
          </w:tcPr>
          <w:p>
            <w:pPr>
              <w:jc w:val="center"/>
            </w:pPr>
            <w:r>
              <w:rPr>
                <w:b w:val="false"/>
                <w:bCs w:val="false"/>
                <w:sz w:val="20"/>
                <w:szCs w:val="20"/>
              </w:rPr>
              <w:t xml:space="preserve">+25%</w:t>
            </w:r>
          </w:p>
        </w:tc>
      </w:tr>
      <w:tr>
        <w:tc>
          <w:tcPr>
            <w:tcW w:type="dxa" w:w="1400"/>
            <w:shd w:fill="F2F2F2" w:color="auto" w:val="clear"/>
            <w:tcMar>
              <w:top w:type="dxa" w:w="60"/>
              <w:left w:type="dxa" w:w="100"/>
              <w:bottom w:type="dxa" w:w="60"/>
              <w:right w:type="dxa" w:w="100"/>
            </w:tcMar>
            <w:vAlign w:val="center"/>
          </w:tcPr>
          <w:p>
            <w:pPr>
              <w:jc w:val="left"/>
            </w:pPr>
            <w:r>
              <w:rPr>
                <w:b w:val="false"/>
                <w:bCs w:val="false"/>
                <w:sz w:val="20"/>
                <w:szCs w:val="20"/>
              </w:rPr>
              <w:t xml:space="preserve">Brand</w:t>
            </w:r>
          </w:p>
        </w:tc>
        <w:tc>
          <w:tcPr>
            <w:tcW w:type="dxa" w:w="2600"/>
            <w:shd w:fill="F2F2F2" w:color="auto" w:val="clear"/>
            <w:tcMar>
              <w:top w:type="dxa" w:w="60"/>
              <w:left w:type="dxa" w:w="100"/>
              <w:bottom w:type="dxa" w:w="60"/>
              <w:right w:type="dxa" w:w="100"/>
            </w:tcMar>
            <w:vAlign w:val="center"/>
          </w:tcPr>
          <w:p>
            <w:pPr>
              <w:jc w:val="left"/>
            </w:pPr>
            <w:r>
              <w:rPr>
                <w:b w:val="false"/>
                <w:bCs w:val="false"/>
                <w:sz w:val="20"/>
                <w:szCs w:val="20"/>
              </w:rPr>
              <w:t xml:space="preserve">Lululemon</w:t>
            </w:r>
          </w:p>
        </w:tc>
        <w:tc>
          <w:tcPr>
            <w:tcW w:type="dxa" w:w="1800"/>
            <w:shd w:fill="F2F2F2" w:color="auto" w:val="clear"/>
            <w:tcMar>
              <w:top w:type="dxa" w:w="60"/>
              <w:left w:type="dxa" w:w="100"/>
              <w:bottom w:type="dxa" w:w="60"/>
              <w:right w:type="dxa" w:w="100"/>
            </w:tcMar>
            <w:vAlign w:val="center"/>
          </w:tcPr>
          <w:p>
            <w:pPr>
              <w:jc w:val="center"/>
            </w:pPr>
            <w:r>
              <w:rPr>
                <w:b w:val="false"/>
                <w:bCs w:val="false"/>
                <w:sz w:val="20"/>
                <w:szCs w:val="20"/>
              </w:rPr>
              <w:t xml:space="preserve">-26%</w:t>
            </w:r>
          </w:p>
        </w:tc>
      </w:tr>
      <w:tr>
        <w:tc>
          <w:tcPr>
            <w:tcW w:type="dxa" w:w="1400"/>
            <w:shd w:fill="FFFFFF" w:color="auto" w:val="clear"/>
            <w:tcMar>
              <w:top w:type="dxa" w:w="60"/>
              <w:left w:type="dxa" w:w="100"/>
              <w:bottom w:type="dxa" w:w="60"/>
              <w:right w:type="dxa" w:w="100"/>
            </w:tcMar>
            <w:vAlign w:val="center"/>
          </w:tcPr>
          <w:p>
            <w:pPr>
              <w:jc w:val="left"/>
            </w:pPr>
            <w:r>
              <w:rPr>
                <w:b w:val="false"/>
                <w:bCs w:val="false"/>
                <w:sz w:val="20"/>
                <w:szCs w:val="20"/>
              </w:rPr>
              <w:t xml:space="preserve">Brand</w:t>
            </w:r>
          </w:p>
        </w:tc>
        <w:tc>
          <w:tcPr>
            <w:tcW w:type="dxa" w:w="2600"/>
            <w:shd w:fill="FFFFFF" w:color="auto" w:val="clear"/>
            <w:tcMar>
              <w:top w:type="dxa" w:w="60"/>
              <w:left w:type="dxa" w:w="100"/>
              <w:bottom w:type="dxa" w:w="60"/>
              <w:right w:type="dxa" w:w="100"/>
            </w:tcMar>
            <w:vAlign w:val="center"/>
          </w:tcPr>
          <w:p>
            <w:pPr>
              <w:jc w:val="left"/>
            </w:pPr>
            <w:r>
              <w:rPr>
                <w:b w:val="false"/>
                <w:bCs w:val="false"/>
                <w:sz w:val="20"/>
                <w:szCs w:val="20"/>
              </w:rPr>
              <w:t xml:space="preserve">Nike</w:t>
            </w:r>
          </w:p>
        </w:tc>
        <w:tc>
          <w:tcPr>
            <w:tcW w:type="dxa" w:w="1800"/>
            <w:shd w:fill="FFFFFF" w:color="auto" w:val="clear"/>
            <w:tcMar>
              <w:top w:type="dxa" w:w="60"/>
              <w:left w:type="dxa" w:w="100"/>
              <w:bottom w:type="dxa" w:w="60"/>
              <w:right w:type="dxa" w:w="100"/>
            </w:tcMar>
            <w:vAlign w:val="center"/>
          </w:tcPr>
          <w:p>
            <w:pPr>
              <w:jc w:val="center"/>
            </w:pPr>
            <w:r>
              <w:rPr>
                <w:b w:val="false"/>
                <w:bCs w:val="false"/>
                <w:sz w:val="20"/>
                <w:szCs w:val="20"/>
              </w:rPr>
              <w:t xml:space="preserve">-4%</w:t>
            </w:r>
          </w:p>
        </w:tc>
      </w:tr>
    </w:tbl>
    <w:p>
      <w:pPr>
        <w:spacing w:before="200"/>
      </w:pPr>
    </w:p>
    <w:p>
      <w:pPr>
        <w:spacing w:after="160" w:line="300"/>
        <w:jc w:val="both"/>
      </w:pPr>
      <w:r>
        <w:t xml:space="preserve">2024년 인덱스 개시 이후 주가가 오른 소매업체는 Boot Barn(+118%), Dick's Sporting Goods(+62%), Macy's(+32%) 세 곳뿐이다. Allbirds는 신발 사업에서 발을 빼며 Brand Index에서 제외됐다. Nike, adidas, On, Deckers(HOKA·UGG), Crocs, Skechers, VF Corp, Foot Locker 등 개별 브랜드의 분기 매출·영업이익 상세 수치는 원문 p.66-69에 브랜드별로 정리되어 있다.</w:t>
      </w:r>
    </w:p>
    <w:p>
      <w:pPr>
        <w:spacing w:after="60" w:before="120"/>
        <w:jc w:val="center"/>
      </w:pPr>
      <w:r>
        <w:drawing>
          <wp:inline distT="0" distB="0" distL="0" distR="0">
            <wp:extent cx="5762625"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486150"/>
                    </a:xfrm>
                    <a:prstGeom prst="rect">
                      <a:avLst/>
                    </a:prstGeom>
                  </pic:spPr>
                </pic:pic>
              </a:graphicData>
            </a:graphic>
          </wp:inline>
        </w:drawing>
      </w:r>
    </w:p>
    <w:p>
      <w:pPr>
        <w:spacing w:after="240"/>
        <w:jc w:val="center"/>
      </w:pPr>
      <w:r>
        <w:rPr>
          <w:i/>
          <w:iCs/>
          <w:color w:val="666666"/>
          <w:sz w:val="18"/>
          <w:szCs w:val="18"/>
        </w:rPr>
        <w:t xml:space="preserve">원문 p.64-65 — Retail Index / Brand Index 상세표</w:t>
      </w:r>
    </w:p>
    <w:p>
      <w:pPr>
        <w:pStyle w:val="Heading1"/>
        <w:spacing w:after="160" w:before="360"/>
      </w:pPr>
      <w:r>
        <w:t xml:space="preserve">8. Trend Insight — 소비자 설문: 2026 가을·겨울 쇼핑 전망</w:t>
      </w:r>
    </w:p>
    <w:p>
      <w:pPr>
        <w:spacing w:after="160" w:line="300"/>
        <w:jc w:val="both"/>
      </w:pPr>
      <w:r>
        <w:t xml:space="preserve">MESH01 플랫폼을 통해 18~65세 소비자 335명을 대상으로 진행한 설문 결과다.</w:t>
      </w:r>
    </w:p>
    <w:p>
      <w:pPr>
        <w:spacing w:after="80" w:line="280"/>
        <w:ind w:left="240" w:hanging="160"/>
      </w:pPr>
      <w:r>
        <w:t xml:space="preserve">– 가을·겨울에 가장 많이 구매할 신발 카테고리는 러닝화, 스니커즈, 하이킹/아웃도어 부츠, 애슬레틱 라이프스타일화, 방한/스노우부츠 순이다.</w:t>
      </w:r>
    </w:p>
    <w:p>
      <w:pPr>
        <w:spacing w:after="80" w:line="280"/>
        <w:ind w:left="240" w:hanging="160"/>
      </w:pPr>
      <w:r>
        <w:t xml:space="preserve">– 응답자의 약 70%가 올해 신발 가격에 다소 또는 매우 우려한다고 답했다. 가격이 오르면 61%는 "세일을 기다리겠다", 14%는 "구매 켤레 수를 줄이겠다"고 답했다.</w:t>
      </w:r>
    </w:p>
    <w:p>
      <w:pPr>
        <w:spacing w:after="80" w:line="280"/>
        <w:ind w:left="240" w:hanging="160"/>
      </w:pPr>
      <w:r>
        <w:t xml:space="preserve">– 매장에서 구매하는 이유 1위는 "신어보고 사기 위해"(92%), 이어 "핏에 대한 확신"(53%), "즉시 구매 가능"(52%) 순이다.</w:t>
      </w:r>
    </w:p>
    <w:p>
      <w:pPr>
        <w:spacing w:after="80" w:line="280"/>
        <w:ind w:left="240" w:hanging="160"/>
      </w:pPr>
      <w:r>
        <w:t xml:space="preserve">– 실제 구매를 결정짓는 요인은 편안함(87%), 핏(79%), 가격(70%) 순으로 나타났다.</w:t>
      </w:r>
    </w:p>
    <w:p>
      <w:pPr>
        <w:spacing w:after="60" w:before="120"/>
        <w:jc w:val="center"/>
      </w:pPr>
      <w:r>
        <w:drawing>
          <wp:inline distT="0" distB="0" distL="0" distR="0">
            <wp:extent cx="5762625"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486150"/>
                    </a:xfrm>
                    <a:prstGeom prst="rect">
                      <a:avLst/>
                    </a:prstGeom>
                  </pic:spPr>
                </pic:pic>
              </a:graphicData>
            </a:graphic>
          </wp:inline>
        </w:drawing>
      </w:r>
    </w:p>
    <w:p>
      <w:pPr>
        <w:spacing w:after="240"/>
        <w:jc w:val="center"/>
      </w:pPr>
      <w:r>
        <w:rPr>
          <w:i/>
          <w:iCs/>
          <w:color w:val="666666"/>
          <w:sz w:val="18"/>
          <w:szCs w:val="18"/>
        </w:rPr>
        <w:t xml:space="preserve">원문 p.70-71 — Trend Insight 소비자 설문 그래프</w:t>
      </w:r>
    </w:p>
    <w:p>
      <w:pPr>
        <w:pStyle w:val="Heading1"/>
        <w:spacing w:after="160" w:before="360"/>
      </w:pPr>
      <w:r>
        <w:t xml:space="preserve">9. Lines We Like — 주목할 신제품</w:t>
      </w:r>
    </w:p>
    <w:p>
      <w:pPr>
        <w:spacing w:after="160" w:line="300"/>
        <w:jc w:val="both"/>
      </w:pPr>
      <w:r>
        <w:t xml:space="preserve">Merrell MTL SpeedARC Peak(카본 파이버 플레이트 트레일러닝화, 290달러), Astral Loyak All Weather 2.0(방수 미니멀 트레일화, 140달러), Teva Trailpeak·Aventrail 시리즈(트레일 러닝 라인 확장) 등 소재·기술 혁신을 앞세운 신제품이 소개됐다.</w:t>
      </w:r>
    </w:p>
    <w:p>
      <w:pPr>
        <w:spacing w:after="60" w:before="120"/>
        <w:jc w:val="center"/>
      </w:pPr>
      <w:r>
        <w:drawing>
          <wp:inline distT="0" distB="0" distL="0" distR="0">
            <wp:extent cx="5762625"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486150"/>
                    </a:xfrm>
                    <a:prstGeom prst="rect">
                      <a:avLst/>
                    </a:prstGeom>
                  </pic:spPr>
                </pic:pic>
              </a:graphicData>
            </a:graphic>
          </wp:inline>
        </w:drawing>
      </w:r>
    </w:p>
    <w:p>
      <w:pPr>
        <w:spacing w:after="240"/>
        <w:jc w:val="center"/>
      </w:pPr>
      <w:r>
        <w:rPr>
          <w:i/>
          <w:iCs/>
          <w:color w:val="666666"/>
          <w:sz w:val="18"/>
          <w:szCs w:val="18"/>
        </w:rPr>
        <w:t xml:space="preserve">원문 p.74 — Lines We Like 신제품 소개</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2aa0e85bb57765e7b53f5e1793dc8dfd9122368.jpg"/><Relationship Id="rId9" Type="http://schemas.openxmlformats.org/officeDocument/2006/relationships/image" Target="media/0a403ce6cfa665c2409e23bccfe42119832bc5ce.jpg"/><Relationship Id="rId10" Type="http://schemas.openxmlformats.org/officeDocument/2006/relationships/image" Target="media/c8cc43b82fa70e891e1daad1db767e2fd89db326.jpg"/><Relationship Id="rId11" Type="http://schemas.openxmlformats.org/officeDocument/2006/relationships/image" Target="media/d298c0c7c48d843c5c2793c338943d5e133c6883.jpg"/><Relationship Id="rId12" Type="http://schemas.openxmlformats.org/officeDocument/2006/relationships/image" Target="media/ed9566f2ae9c5f7265b704ab20c62f16b66e95f0.jpg"/><Relationship Id="rId13" Type="http://schemas.openxmlformats.org/officeDocument/2006/relationships/image" Target="media/f9888f16a7cf14cd795d4a3a382132cc9be4fe0b.jpg"/><Relationship Id="rId14" Type="http://schemas.openxmlformats.org/officeDocument/2006/relationships/image" Target="media/e4b0e8a56884e210d6f14e313812a432fca496dc.jpg"/><Relationship Id="rId15" Type="http://schemas.openxmlformats.org/officeDocument/2006/relationships/image" Target="media/80bab8e3cb8c49ba5b0aef6f6b2c472ccbd159d5.jpg"/><Relationship Id="rId16" Type="http://schemas.openxmlformats.org/officeDocument/2006/relationships/image" Target="media/46eebbf4ca09bd44ab42a8367c72a96b445cb75b.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2026-08-10T02:17:22.018Z</dcterms:created>
  <dcterms:modified xsi:type="dcterms:W3CDTF">2026-08-10T02:17:22.018Z</dcterms:modified>
</cp:coreProperties>
</file>

<file path=docProps/custom.xml><?xml version="1.0" encoding="utf-8"?>
<Properties xmlns="http://schemas.openxmlformats.org/officeDocument/2006/custom-properties" xmlns:vt="http://schemas.openxmlformats.org/officeDocument/2006/docPropsVTypes"/>
</file>