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color w:val="5C4635"/>
          <w:sz w:val="44"/>
        </w:rPr>
        <w:t>Chatviva Slim 风险筛查规则文档</w:t>
      </w:r>
    </w:p>
    <w:p>
      <w:pPr>
        <w:jc w:val="center"/>
      </w:pPr>
      <w:r>
        <w:rPr>
          <w:rFonts w:ascii="Noto Sans CJK SC" w:hAnsi="Noto Sans CJK SC" w:eastAsia="Noto Sans CJK SC"/>
          <w:color w:val="6B6157"/>
          <w:sz w:val="20"/>
        </w:rPr>
        <w:t>面向代餐粉与周边保健产品的 Onboarding 安全分层、页面规则与接口字段建议</w:t>
      </w:r>
    </w:p>
    <w:p>
      <w:pPr>
        <w:pStyle w:val="DocNote"/>
      </w:pPr>
      <w:r>
        <w:t>版本：V1.0 ｜ 适用范围：Flutter 静态 Demo、产品规则、研发接口、运营后台配置 ｜ 日期：2026-06-18</w:t>
      </w:r>
    </w:p>
    <w:tbl>
      <w:tblPr>
        <w:tblW w:type="auto" w:w="0"/>
        <w:jc w:val="center"/>
        <w:tblLook w:firstColumn="1" w:firstRow="1" w:lastColumn="0" w:lastRow="0" w:noHBand="0" w:noVBand="1" w:val="04A0"/>
      </w:tblPr>
      <w:tblGrid>
        <w:gridCol w:w="10656"/>
      </w:tblGrid>
      <w:tr>
        <w:tc>
          <w:tcPr>
            <w:tcW w:type="dxa" w:w="10656"/>
            <w:shd w:fill="F7F5F1"/>
            <w:tcBorders>
              <w:top w:sz="6" w:val="single" w:color="DBC8B8"/>
              <w:left w:sz="6" w:val="single" w:color="DBC8B8"/>
              <w:bottom w:sz="6" w:val="single" w:color="DBC8B8"/>
              <w:right w:sz="6" w:val="single" w:color="DBC8B8"/>
            </w:tcBorders>
          </w:tcPr>
          <w:p>
            <w:pPr>
              <w:spacing w:before="80" w:after="80"/>
            </w:pPr>
            <w:r>
              <w:rPr>
                <w:rFonts w:ascii="Noto Sans CJK SC" w:hAnsi="Noto Sans CJK SC" w:eastAsia="Noto Sans CJK SC"/>
                <w:color w:val="5C4635"/>
                <w:sz w:val="18"/>
              </w:rPr>
              <w:t>本文档用于定义 Chatviva Slim 在美国/墨西哥市场的轻量风险筛查逻辑。核心目标不是做医疗诊断，而是在用户进入 30 天 Slim Journey 前识别不适合普通代餐/减重旅程的人群，并决定是否进入低风险计划、提醒咨询专业人士、限制产品建议或阻断旅程。</w:t>
            </w:r>
          </w:p>
        </w:tc>
      </w:tr>
    </w:tbl>
    <w:p>
      <w:pPr>
        <w:pStyle w:val="Heading1"/>
      </w:pPr>
      <w:r>
        <w:t>1. 设计原则</w:t>
      </w:r>
    </w:p>
    <w:p>
      <w:pPr>
        <w:pStyle w:val="ListBullet"/>
        <w:spacing w:after="40"/>
      </w:pPr>
      <w:r>
        <w:t>低压力：筛查以“帮助 Sunny 更安全地陪伴你”为理由，不设计成冷冰冰的医疗问卷。</w:t>
      </w:r>
    </w:p>
    <w:p>
      <w:pPr>
        <w:pStyle w:val="ListBullet"/>
        <w:spacing w:after="40"/>
      </w:pPr>
      <w:r>
        <w:t>不诊断：所有结果只做产品使用和计划强度分层，不输出疾病判断。</w:t>
      </w:r>
    </w:p>
    <w:p>
      <w:pPr>
        <w:pStyle w:val="ListBullet"/>
        <w:spacing w:after="40"/>
      </w:pPr>
      <w:r>
        <w:t>不惩罚：高风险用户不显示“失败/不合格”，而是提示“这个计划可能不适合你，需要更个性化的专业建议”。</w:t>
      </w:r>
    </w:p>
    <w:p>
      <w:pPr>
        <w:pStyle w:val="ListBullet"/>
        <w:spacing w:after="40"/>
      </w:pPr>
      <w:r>
        <w:t>可解释：每个风险标签都要能解释为什么触发，以及会影响哪些 App 功能。</w:t>
      </w:r>
    </w:p>
    <w:p>
      <w:pPr>
        <w:pStyle w:val="ListBullet"/>
        <w:spacing w:after="40"/>
      </w:pPr>
      <w:r>
        <w:t>配置化：问题、选项、风险等级、阻断文案、Sunny 兜底话术均应支持后台配置。</w:t>
      </w:r>
    </w:p>
    <w:p>
      <w:pPr>
        <w:pStyle w:val="ListBullet"/>
        <w:spacing w:after="40"/>
      </w:pPr>
      <w:r>
        <w:t>地区化：美国/墨西哥必须分别保留隐私授权、免责声明、单位制和语言文案。</w:t>
      </w:r>
    </w:p>
    <w:p>
      <w:pPr>
        <w:pStyle w:val="Heading1"/>
      </w:pPr>
      <w:r>
        <w:t>2. 风险分层总览</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cantSplit/>
        </w:trPr>
        <w:tc>
          <w:tcPr>
            <w:tcW w:type="dxa" w:w="1728"/>
            <w:vAlign w:val="center"/>
            <w:tcBorders>
              <w:top w:sz="4" w:val="single" w:color="D9D0C6"/>
              <w:left w:sz="4" w:val="single" w:color="D9D0C6"/>
              <w:bottom w:sz="4" w:val="single" w:color="D9D0C6"/>
              <w:right w:sz="4" w:val="single" w:color="D9D0C6"/>
            </w:tcBorders>
            <w:shd w:fill="5C4635"/>
          </w:tcPr>
          <w:p>
            <w:pPr>
              <w:spacing w:after="40" w:before="0"/>
            </w:pPr>
            <w:r>
              <w:rPr>
                <w:rFonts w:ascii="Noto Sans CJK SC" w:hAnsi="Noto Sans CJK SC" w:eastAsia="Noto Sans CJK SC"/>
                <w:b/>
                <w:color w:val="FFFFFF"/>
                <w:sz w:val="16"/>
              </w:rPr>
              <w:t>等级</w:t>
            </w:r>
          </w:p>
        </w:tc>
        <w:tc>
          <w:tcPr>
            <w:tcW w:type="dxa" w:w="2880"/>
            <w:vAlign w:val="center"/>
            <w:tcBorders>
              <w:top w:sz="4" w:val="single" w:color="D9D0C6"/>
              <w:left w:sz="4" w:val="single" w:color="D9D0C6"/>
              <w:bottom w:sz="4" w:val="single" w:color="D9D0C6"/>
              <w:right w:sz="4" w:val="single" w:color="D9D0C6"/>
            </w:tcBorders>
            <w:shd w:fill="5C4635"/>
          </w:tcPr>
          <w:p>
            <w:pPr>
              <w:spacing w:after="40" w:before="0"/>
            </w:pPr>
            <w:r>
              <w:rPr>
                <w:rFonts w:ascii="Noto Sans CJK SC" w:hAnsi="Noto Sans CJK SC" w:eastAsia="Noto Sans CJK SC"/>
                <w:b/>
                <w:color w:val="FFFFFF"/>
                <w:sz w:val="16"/>
              </w:rPr>
              <w:t>适用情况</w:t>
            </w:r>
          </w:p>
        </w:tc>
        <w:tc>
          <w:tcPr>
            <w:tcW w:type="dxa" w:w="3024"/>
            <w:vAlign w:val="center"/>
            <w:tcBorders>
              <w:top w:sz="4" w:val="single" w:color="D9D0C6"/>
              <w:left w:sz="4" w:val="single" w:color="D9D0C6"/>
              <w:bottom w:sz="4" w:val="single" w:color="D9D0C6"/>
              <w:right w:sz="4" w:val="single" w:color="D9D0C6"/>
            </w:tcBorders>
            <w:shd w:fill="5C4635"/>
          </w:tcPr>
          <w:p>
            <w:pPr>
              <w:spacing w:after="40" w:before="0"/>
            </w:pPr>
            <w:r>
              <w:rPr>
                <w:rFonts w:ascii="Noto Sans CJK SC" w:hAnsi="Noto Sans CJK SC" w:eastAsia="Noto Sans CJK SC"/>
                <w:b/>
                <w:color w:val="FFFFFF"/>
                <w:sz w:val="16"/>
              </w:rPr>
              <w:t>产品/旅程处理</w:t>
            </w:r>
          </w:p>
        </w:tc>
        <w:tc>
          <w:tcPr>
            <w:tcW w:type="dxa" w:w="3024"/>
            <w:vAlign w:val="center"/>
            <w:tcBorders>
              <w:top w:sz="4" w:val="single" w:color="D9D0C6"/>
              <w:left w:sz="4" w:val="single" w:color="D9D0C6"/>
              <w:bottom w:sz="4" w:val="single" w:color="D9D0C6"/>
              <w:right w:sz="4" w:val="single" w:color="D9D0C6"/>
            </w:tcBorders>
            <w:shd w:fill="5C4635"/>
          </w:tcPr>
          <w:p>
            <w:pPr>
              <w:spacing w:after="40" w:before="0"/>
            </w:pPr>
            <w:r>
              <w:rPr>
                <w:rFonts w:ascii="Noto Sans CJK SC" w:hAnsi="Noto Sans CJK SC" w:eastAsia="Noto Sans CJK SC"/>
                <w:b/>
                <w:color w:val="FFFFFF"/>
                <w:sz w:val="16"/>
              </w:rPr>
              <w:t>Sunny 处理</w:t>
            </w:r>
          </w:p>
        </w:tc>
      </w:tr>
      <w:tr>
        <w:trPr>
          <w:cantSplit/>
        </w:trPr>
        <w:tc>
          <w:tcPr>
            <w:tcW w:type="dxa" w:w="1728"/>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L0 绿色 / Eligible</w:t>
            </w:r>
          </w:p>
        </w:tc>
        <w:tc>
          <w:tcPr>
            <w:tcW w:type="dxa" w:w="2880"/>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成年人；BMI 或目标处于常规范围；无重大禁忌；无极端减重诉求。</w:t>
            </w:r>
          </w:p>
        </w:tc>
        <w:tc>
          <w:tcPr>
            <w:tcW w:type="dxa" w:w="302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允许进入 30 天 Slim Journey；可推荐代餐饮用节奏。</w:t>
            </w:r>
          </w:p>
        </w:tc>
        <w:tc>
          <w:tcPr>
            <w:tcW w:type="dxa" w:w="302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正常陪伴、鼓励、打卡反馈。</w:t>
            </w:r>
          </w:p>
        </w:tc>
      </w:tr>
      <w:tr>
        <w:trPr>
          <w:cantSplit/>
        </w:trPr>
        <w:tc>
          <w:tcPr>
            <w:tcW w:type="dxa" w:w="1728"/>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L1 黄色 / Caution</w:t>
            </w:r>
          </w:p>
        </w:tc>
        <w:tc>
          <w:tcPr>
            <w:tcW w:type="dxa" w:w="2880"/>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目标偏激进、轻度慢病、睡眠/压力明显波动、过敏史需要确认等。</w:t>
            </w:r>
          </w:p>
        </w:tc>
        <w:tc>
          <w:tcPr>
            <w:tcW w:type="dxa" w:w="3024"/>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允许进入，但默认使用温和计划；降低代餐频率；提示咨询专业人士。</w:t>
            </w:r>
          </w:p>
        </w:tc>
        <w:tc>
          <w:tcPr>
            <w:tcW w:type="dxa" w:w="3024"/>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更多关注身体感受，不给强减重建议。</w:t>
            </w:r>
          </w:p>
        </w:tc>
      </w:tr>
      <w:tr>
        <w:trPr>
          <w:cantSplit/>
        </w:trPr>
        <w:tc>
          <w:tcPr>
            <w:tcW w:type="dxa" w:w="1728"/>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L2 橙色 / Professional Review</w:t>
            </w:r>
          </w:p>
        </w:tc>
        <w:tc>
          <w:tcPr>
            <w:tcW w:type="dxa" w:w="2880"/>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糖尿病用药、肾病/肝病/心血管疾病、近期手术、正在使用减重药或多种药物等。</w:t>
            </w:r>
          </w:p>
        </w:tc>
        <w:tc>
          <w:tcPr>
            <w:tcW w:type="dxa" w:w="302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不生成强执行减重计划；仅提供一般习惯支持；产品建议需转人工/专业审核。</w:t>
            </w:r>
          </w:p>
        </w:tc>
        <w:tc>
          <w:tcPr>
            <w:tcW w:type="dxa" w:w="302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先安全提醒，再建议与医生/营养师确认。</w:t>
            </w:r>
          </w:p>
        </w:tc>
      </w:tr>
      <w:tr>
        <w:trPr>
          <w:cantSplit/>
        </w:trPr>
        <w:tc>
          <w:tcPr>
            <w:tcW w:type="dxa" w:w="1728"/>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L3 红色 / Not Suitable</w:t>
            </w:r>
          </w:p>
        </w:tc>
        <w:tc>
          <w:tcPr>
            <w:tcW w:type="dxa" w:w="2880"/>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未成年人、孕期/哺乳期、BMI 过低、疑似进食障碍、极端节食、快速减重目标等。</w:t>
            </w:r>
          </w:p>
        </w:tc>
        <w:tc>
          <w:tcPr>
            <w:tcW w:type="dxa" w:w="3024"/>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阻断 Slim Journey；不推荐代餐替代餐计划或减重产品。</w:t>
            </w:r>
          </w:p>
        </w:tc>
        <w:tc>
          <w:tcPr>
            <w:tcW w:type="dxa" w:w="3024"/>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温柔解释不适合，并引导寻求专业支持。</w:t>
            </w:r>
          </w:p>
        </w:tc>
      </w:tr>
      <w:tr>
        <w:trPr>
          <w:cantSplit/>
        </w:trPr>
        <w:tc>
          <w:tcPr>
            <w:tcW w:type="dxa" w:w="1728"/>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L4 紧急 / Crisis</w:t>
            </w:r>
          </w:p>
        </w:tc>
        <w:tc>
          <w:tcPr>
            <w:tcW w:type="dxa" w:w="2880"/>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自伤/自杀意图，严重脱水/胸痛/晕厥等急性风险表达。</w:t>
            </w:r>
          </w:p>
        </w:tc>
        <w:tc>
          <w:tcPr>
            <w:tcW w:type="dxa" w:w="302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立即停止产品建议与计划生成；展示紧急帮助提示。</w:t>
            </w:r>
          </w:p>
        </w:tc>
        <w:tc>
          <w:tcPr>
            <w:tcW w:type="dxa" w:w="302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不继续减重对话，转为危机/急救提示。</w:t>
            </w:r>
          </w:p>
        </w:tc>
      </w:tr>
    </w:tbl>
    <w:p>
      <w:pPr>
        <w:pStyle w:val="Heading1"/>
      </w:pPr>
      <w:r>
        <w:t>3. Onboarding 风险筛查最小问题集</w:t>
      </w:r>
    </w:p>
    <w:p>
      <w:r>
        <w:t>建议 Demo 阶段使用 10 个轻量问题，真实上线可扩展为分支问题。每个问题都应支持英文与西语文案，且答案写入 user_risk_profile。</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cantSplit/>
        </w:trPr>
        <w:tc>
          <w:tcPr>
            <w:tcW w:type="dxa" w:w="2131"/>
            <w:vAlign w:val="center"/>
            <w:tcBorders>
              <w:top w:sz="4" w:val="single" w:color="D9D0C6"/>
              <w:left w:sz="4" w:val="single" w:color="D9D0C6"/>
              <w:bottom w:sz="4" w:val="single" w:color="D9D0C6"/>
              <w:right w:sz="4" w:val="single" w:color="D9D0C6"/>
            </w:tcBorders>
            <w:shd w:fill="5C4635"/>
          </w:tcPr>
          <w:p>
            <w:pPr>
              <w:spacing w:after="40" w:before="0"/>
            </w:pPr>
            <w:r>
              <w:rPr>
                <w:rFonts w:ascii="Noto Sans CJK SC" w:hAnsi="Noto Sans CJK SC" w:eastAsia="Noto Sans CJK SC"/>
                <w:b/>
                <w:color w:val="FFFFFF"/>
                <w:sz w:val="16"/>
              </w:rPr>
              <w:t>序号</w:t>
            </w:r>
          </w:p>
        </w:tc>
        <w:tc>
          <w:tcPr>
            <w:tcW w:type="dxa" w:w="2131"/>
            <w:vAlign w:val="center"/>
            <w:tcBorders>
              <w:top w:sz="4" w:val="single" w:color="D9D0C6"/>
              <w:left w:sz="4" w:val="single" w:color="D9D0C6"/>
              <w:bottom w:sz="4" w:val="single" w:color="D9D0C6"/>
              <w:right w:sz="4" w:val="single" w:color="D9D0C6"/>
            </w:tcBorders>
            <w:shd w:fill="5C4635"/>
          </w:tcPr>
          <w:p>
            <w:pPr>
              <w:spacing w:after="40" w:before="0"/>
            </w:pPr>
            <w:r>
              <w:rPr>
                <w:rFonts w:ascii="Noto Sans CJK SC" w:hAnsi="Noto Sans CJK SC" w:eastAsia="Noto Sans CJK SC"/>
                <w:b/>
                <w:color w:val="FFFFFF"/>
                <w:sz w:val="16"/>
              </w:rPr>
              <w:t>问题主题</w:t>
            </w:r>
          </w:p>
        </w:tc>
        <w:tc>
          <w:tcPr>
            <w:tcW w:type="dxa" w:w="2131"/>
            <w:vAlign w:val="center"/>
            <w:tcBorders>
              <w:top w:sz="4" w:val="single" w:color="D9D0C6"/>
              <w:left w:sz="4" w:val="single" w:color="D9D0C6"/>
              <w:bottom w:sz="4" w:val="single" w:color="D9D0C6"/>
              <w:right w:sz="4" w:val="single" w:color="D9D0C6"/>
            </w:tcBorders>
            <w:shd w:fill="5C4635"/>
          </w:tcPr>
          <w:p>
            <w:pPr>
              <w:spacing w:after="40" w:before="0"/>
            </w:pPr>
            <w:r>
              <w:rPr>
                <w:rFonts w:ascii="Noto Sans CJK SC" w:hAnsi="Noto Sans CJK SC" w:eastAsia="Noto Sans CJK SC"/>
                <w:b/>
                <w:color w:val="FFFFFF"/>
                <w:sz w:val="16"/>
              </w:rPr>
              <w:t>建议问题</w:t>
            </w:r>
          </w:p>
        </w:tc>
        <w:tc>
          <w:tcPr>
            <w:tcW w:type="dxa" w:w="2131"/>
            <w:vAlign w:val="center"/>
            <w:tcBorders>
              <w:top w:sz="4" w:val="single" w:color="D9D0C6"/>
              <w:left w:sz="4" w:val="single" w:color="D9D0C6"/>
              <w:bottom w:sz="4" w:val="single" w:color="D9D0C6"/>
              <w:right w:sz="4" w:val="single" w:color="D9D0C6"/>
            </w:tcBorders>
            <w:shd w:fill="5C4635"/>
          </w:tcPr>
          <w:p>
            <w:pPr>
              <w:spacing w:after="40" w:before="0"/>
            </w:pPr>
            <w:r>
              <w:rPr>
                <w:rFonts w:ascii="Noto Sans CJK SC" w:hAnsi="Noto Sans CJK SC" w:eastAsia="Noto Sans CJK SC"/>
                <w:b/>
                <w:color w:val="FFFFFF"/>
                <w:sz w:val="16"/>
              </w:rPr>
              <w:t>字段名</w:t>
            </w:r>
          </w:p>
        </w:tc>
        <w:tc>
          <w:tcPr>
            <w:tcW w:type="dxa" w:w="2131"/>
            <w:vAlign w:val="center"/>
            <w:tcBorders>
              <w:top w:sz="4" w:val="single" w:color="D9D0C6"/>
              <w:left w:sz="4" w:val="single" w:color="D9D0C6"/>
              <w:bottom w:sz="4" w:val="single" w:color="D9D0C6"/>
              <w:right w:sz="4" w:val="single" w:color="D9D0C6"/>
            </w:tcBorders>
            <w:shd w:fill="5C4635"/>
          </w:tcPr>
          <w:p>
            <w:pPr>
              <w:spacing w:after="40" w:before="0"/>
            </w:pPr>
            <w:r>
              <w:rPr>
                <w:rFonts w:ascii="Noto Sans CJK SC" w:hAnsi="Noto Sans CJK SC" w:eastAsia="Noto Sans CJK SC"/>
                <w:b/>
                <w:color w:val="FFFFFF"/>
                <w:sz w:val="16"/>
              </w:rPr>
              <w:t>触发逻辑</w:t>
            </w:r>
          </w:p>
        </w:tc>
      </w:tr>
      <w:tr>
        <w:trPr>
          <w:cantSplit/>
        </w:trPr>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Q1</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年龄</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How old are you?</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age</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&lt;18 触发 L3；18-20 触发 L1；65+ 触发 L1，若伴随慢病/快速减重则 L2。</w:t>
            </w:r>
          </w:p>
        </w:tc>
      </w:tr>
      <w:tr>
        <w:trPr>
          <w:cantSplit/>
        </w:trPr>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Q2</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国家/语言/单位</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Where are you using Chatviva Slim?</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country, language, unit_system</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美国默认 lb/in/oz；墨西哥默认 kg/cm/ml。决定隐私授权与免责声明版本。</w:t>
            </w:r>
          </w:p>
        </w:tc>
      </w:tr>
      <w:tr>
        <w:trPr>
          <w:cantSplit/>
        </w:trPr>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Q3</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身高体重</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Your current height and weight?</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height, current_weight, bmi</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BMI &lt;18.5 触发 L3；BMI 18.5-24.9 仅允许轻管理；BMI &gt;=40 触发 L2。</w:t>
            </w:r>
          </w:p>
        </w:tc>
      </w:tr>
      <w:tr>
        <w:trPr>
          <w:cantSplit/>
        </w:trPr>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Q4</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目标体重/目标周期</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What is your goal weight and timeline?</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goal_weight, goal_timeline</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30 天内目标下降 &gt;5% 或每周 &gt;1% 触发 L1/L2；过低目标 BMI &lt;18.5 触发 L3。</w:t>
            </w:r>
          </w:p>
        </w:tc>
      </w:tr>
      <w:tr>
        <w:trPr>
          <w:cantSplit/>
        </w:trPr>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Q5</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孕期/哺乳</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Are you pregnant, breastfeeding, or trying to conceive?</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pregnancy_status</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任一为 yes 触发 L3；仅保留一般健康习惯建议。</w:t>
            </w:r>
          </w:p>
        </w:tc>
      </w:tr>
      <w:tr>
        <w:trPr>
          <w:cantSplit/>
        </w:trPr>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Q6</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慢病/重大健康状况</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Do you currently have any medical condition?</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medical_conditions[]</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糖尿病、肾病、肝病、心血管疾病、进食障碍、近期手术等按规则触发 L2/L3。</w:t>
            </w:r>
          </w:p>
        </w:tc>
      </w:tr>
      <w:tr>
        <w:trPr>
          <w:cantSplit/>
        </w:trPr>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Q7</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药物/治疗</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Are you taking prescription medications or weight-loss drugs?</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medications[]</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胰岛素/降糖药、GLP-1、利尿剂、抗凝药、激素、减重药等触发 L2。</w:t>
            </w:r>
          </w:p>
        </w:tc>
      </w:tr>
      <w:tr>
        <w:trPr>
          <w:cantSplit/>
        </w:trPr>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Q8</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过敏/成分禁忌</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Any allergies or ingredients you avoid?</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allergens[]</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若与 SKU 成分冲突，阻断该 SKU 推荐；严重过敏触发 L2。</w:t>
            </w:r>
          </w:p>
        </w:tc>
      </w:tr>
      <w:tr>
        <w:trPr>
          <w:cantSplit/>
        </w:trPr>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Q9</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饮食行为风险</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Have you recently been eating very little, fasting for long periods, vomiting, or using laxatives to control weight?</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disordered_eating_flags[]</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任一高风险行为触发 L3，Sunny 不输出减重建议。</w:t>
            </w:r>
          </w:p>
        </w:tc>
      </w:tr>
      <w:tr>
        <w:trPr>
          <w:cantSplit/>
        </w:trPr>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Q10</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情绪安全</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Have weight or food concerns made you feel out of control, hopeless, or unsafe?</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mental_safety_flags[]</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自伤/自杀触发 L4；严重焦虑/失控触发 L2/L3。</w:t>
            </w:r>
          </w:p>
        </w:tc>
      </w:tr>
      <w:tr>
        <w:trPr>
          <w:cantSplit/>
        </w:trPr>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Q11</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产品使用计划</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Which meal do you plan to replace with Solar Protein?</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product_use_plan</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早餐/午餐/晚餐/不确定。晚餐替代 + 饥饿/睡眠差时建议 L1 温和策略。</w:t>
            </w:r>
          </w:p>
        </w:tc>
      </w:tr>
      <w:tr>
        <w:trPr>
          <w:cantSplit/>
        </w:trPr>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Q12</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授权确认</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I understand Chatviva Slim is not medical care and may suggest consulting a professional.</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consent_health_notice</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未确认则不进入 Journey；需记录版本号与时间戳。</w:t>
            </w:r>
          </w:p>
        </w:tc>
      </w:tr>
    </w:tbl>
    <w:p>
      <w:pPr>
        <w:pStyle w:val="Heading1"/>
      </w:pPr>
      <w:r>
        <w:t>4. 具体风险规则表</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cantSplit/>
        </w:trPr>
        <w:tc>
          <w:tcPr>
            <w:tcW w:type="dxa" w:w="2131"/>
            <w:vAlign w:val="center"/>
            <w:tcBorders>
              <w:top w:sz="4" w:val="single" w:color="D9D0C6"/>
              <w:left w:sz="4" w:val="single" w:color="D9D0C6"/>
              <w:bottom w:sz="4" w:val="single" w:color="D9D0C6"/>
              <w:right w:sz="4" w:val="single" w:color="D9D0C6"/>
            </w:tcBorders>
            <w:shd w:fill="5C4635"/>
          </w:tcPr>
          <w:p>
            <w:pPr>
              <w:spacing w:after="40" w:before="0"/>
            </w:pPr>
            <w:r>
              <w:rPr>
                <w:rFonts w:ascii="Noto Sans CJK SC" w:hAnsi="Noto Sans CJK SC" w:eastAsia="Noto Sans CJK SC"/>
                <w:b/>
                <w:color w:val="FFFFFF"/>
                <w:sz w:val="16"/>
              </w:rPr>
              <w:t>风险项</w:t>
            </w:r>
          </w:p>
        </w:tc>
        <w:tc>
          <w:tcPr>
            <w:tcW w:type="dxa" w:w="2131"/>
            <w:vAlign w:val="center"/>
            <w:tcBorders>
              <w:top w:sz="4" w:val="single" w:color="D9D0C6"/>
              <w:left w:sz="4" w:val="single" w:color="D9D0C6"/>
              <w:bottom w:sz="4" w:val="single" w:color="D9D0C6"/>
              <w:right w:sz="4" w:val="single" w:color="D9D0C6"/>
            </w:tcBorders>
            <w:shd w:fill="5C4635"/>
          </w:tcPr>
          <w:p>
            <w:pPr>
              <w:spacing w:after="40" w:before="0"/>
            </w:pPr>
            <w:r>
              <w:rPr>
                <w:rFonts w:ascii="Noto Sans CJK SC" w:hAnsi="Noto Sans CJK SC" w:eastAsia="Noto Sans CJK SC"/>
                <w:b/>
                <w:color w:val="FFFFFF"/>
                <w:sz w:val="16"/>
              </w:rPr>
              <w:t>输入条件</w:t>
            </w:r>
          </w:p>
        </w:tc>
        <w:tc>
          <w:tcPr>
            <w:tcW w:type="dxa" w:w="2131"/>
            <w:vAlign w:val="center"/>
            <w:tcBorders>
              <w:top w:sz="4" w:val="single" w:color="D9D0C6"/>
              <w:left w:sz="4" w:val="single" w:color="D9D0C6"/>
              <w:bottom w:sz="4" w:val="single" w:color="D9D0C6"/>
              <w:right w:sz="4" w:val="single" w:color="D9D0C6"/>
            </w:tcBorders>
            <w:shd w:fill="5C4635"/>
          </w:tcPr>
          <w:p>
            <w:pPr>
              <w:spacing w:after="40" w:before="0"/>
            </w:pPr>
            <w:r>
              <w:rPr>
                <w:rFonts w:ascii="Noto Sans CJK SC" w:hAnsi="Noto Sans CJK SC" w:eastAsia="Noto Sans CJK SC"/>
                <w:b/>
                <w:color w:val="FFFFFF"/>
                <w:sz w:val="16"/>
              </w:rPr>
              <w:t>风险等级</w:t>
            </w:r>
          </w:p>
        </w:tc>
        <w:tc>
          <w:tcPr>
            <w:tcW w:type="dxa" w:w="2131"/>
            <w:vAlign w:val="center"/>
            <w:tcBorders>
              <w:top w:sz="4" w:val="single" w:color="D9D0C6"/>
              <w:left w:sz="4" w:val="single" w:color="D9D0C6"/>
              <w:bottom w:sz="4" w:val="single" w:color="D9D0C6"/>
              <w:right w:sz="4" w:val="single" w:color="D9D0C6"/>
            </w:tcBorders>
            <w:shd w:fill="5C4635"/>
          </w:tcPr>
          <w:p>
            <w:pPr>
              <w:spacing w:after="40" w:before="0"/>
            </w:pPr>
            <w:r>
              <w:rPr>
                <w:rFonts w:ascii="Noto Sans CJK SC" w:hAnsi="Noto Sans CJK SC" w:eastAsia="Noto Sans CJK SC"/>
                <w:b/>
                <w:color w:val="FFFFFF"/>
                <w:sz w:val="16"/>
              </w:rPr>
              <w:t>处理规则</w:t>
            </w:r>
          </w:p>
        </w:tc>
        <w:tc>
          <w:tcPr>
            <w:tcW w:type="dxa" w:w="2131"/>
            <w:vAlign w:val="center"/>
            <w:tcBorders>
              <w:top w:sz="4" w:val="single" w:color="D9D0C6"/>
              <w:left w:sz="4" w:val="single" w:color="D9D0C6"/>
              <w:bottom w:sz="4" w:val="single" w:color="D9D0C6"/>
              <w:right w:sz="4" w:val="single" w:color="D9D0C6"/>
            </w:tcBorders>
            <w:shd w:fill="5C4635"/>
          </w:tcPr>
          <w:p>
            <w:pPr>
              <w:spacing w:after="40" w:before="0"/>
            </w:pPr>
            <w:r>
              <w:rPr>
                <w:rFonts w:ascii="Noto Sans CJK SC" w:hAnsi="Noto Sans CJK SC" w:eastAsia="Noto Sans CJK SC"/>
                <w:b/>
                <w:color w:val="FFFFFF"/>
                <w:sz w:val="16"/>
              </w:rPr>
              <w:t>前端提示文案方向</w:t>
            </w:r>
          </w:p>
        </w:tc>
      </w:tr>
      <w:tr>
        <w:trPr>
          <w:cantSplit/>
        </w:trPr>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未成年人</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age &lt; 18</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L3</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阻断减重旅程、产品替餐建议和 Sunny 减重计划。</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Chatviva Slim 目前只支持成年人使用。</w:t>
            </w:r>
          </w:p>
        </w:tc>
      </w:tr>
      <w:tr>
        <w:trPr>
          <w:cantSplit/>
        </w:trPr>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年龄偏高</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age &gt;= 65 且有慢病、药物或近期非主动体重下降</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L2</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不生成减重计划；仅保留温和饮食/饮水/记录习惯建议。</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为了更安全，建议先和医生确认适合的营养计划。</w:t>
            </w:r>
          </w:p>
        </w:tc>
      </w:tr>
      <w:tr>
        <w:trPr>
          <w:cantSplit/>
        </w:trPr>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BMI 过低</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BMI &lt; 18.5</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L3</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阻断减重计划；不推荐代餐替代餐；可转为营养支持提醒。</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你的当前状态不适合减重旅程。</w:t>
            </w:r>
          </w:p>
        </w:tc>
      </w:tr>
      <w:tr>
        <w:trPr>
          <w:cantSplit/>
        </w:trPr>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正常 BMI 但想快速减重</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BMI 18.5-24.9 且目标下降 &gt;3%/30天</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L1/L2</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允许“轻盈/习惯管理”模式，不强调体重下降。</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我们会把重点放在规律和状态，而不是快速变轻。</w:t>
            </w:r>
          </w:p>
        </w:tc>
      </w:tr>
      <w:tr>
        <w:trPr>
          <w:cantSplit/>
        </w:trPr>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目标过低</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goal_weight 对应 BMI &lt; 18.5</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L3</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阻断目标设置；要求重新设置或咨询专业人士。</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这个目标可能不够安全。我们不能帮你制定这样的计划。</w:t>
            </w:r>
          </w:p>
        </w:tc>
      </w:tr>
      <w:tr>
        <w:trPr>
          <w:cantSplit/>
        </w:trPr>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目标速度过快</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30 天目标下降 &gt;5% 或每周 &gt;1% 体重</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L1/L2</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默认改为温和目标；不展示“快速减重”。</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我们建议用更稳定的节奏，先完成 30 天习惯旅程。</w:t>
            </w:r>
          </w:p>
        </w:tc>
      </w:tr>
      <w:tr>
        <w:trPr>
          <w:cantSplit/>
        </w:trPr>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孕期/哺乳/备孕</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pregnancy_status != no</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L3</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阻断代餐减重旅程；仅允许一般健康提醒。</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这个阶段需要更个性化的专业营养建议。</w:t>
            </w:r>
          </w:p>
        </w:tc>
      </w:tr>
      <w:tr>
        <w:trPr>
          <w:cantSplit/>
        </w:trPr>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糖尿病/低血糖风险</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diabetes, hypoglycemia, insulin, sulfonylurea 等</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L2</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不建议自行替餐；必须提示专业确认。</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代餐可能影响血糖和用药安排，请先和医生确认。</w:t>
            </w:r>
          </w:p>
        </w:tc>
      </w:tr>
      <w:tr>
        <w:trPr>
          <w:cantSplit/>
        </w:trPr>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肾病/肝病/心血管疾病</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kidney, liver, heart disease, severe hypertension</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L2</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不生成产品饮用计划；推荐咨询专业人士。</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你的情况需要专业人员确认更安全的营养方案。</w:t>
            </w:r>
          </w:p>
        </w:tc>
      </w:tr>
      <w:tr>
        <w:trPr>
          <w:cantSplit/>
        </w:trPr>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近期手术/住院/癌症治疗</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近 6 个月相关记录</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L2/L3</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不提供减重计划；仅健康记录与温和陪伴。</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恢复期的营养计划需要医生或营养师评估。</w:t>
            </w:r>
          </w:p>
        </w:tc>
      </w:tr>
      <w:tr>
        <w:trPr>
          <w:cantSplit/>
        </w:trPr>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用药冲突</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降糖药、利尿剂、抗凝药、激素、处方减重药等</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L2</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提示药物/补剂互动风险；不推荐叠加产品。</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请先确认你正在使用的药物是否适合搭配代餐或补剂。</w:t>
            </w:r>
          </w:p>
        </w:tc>
      </w:tr>
      <w:tr>
        <w:trPr>
          <w:cantSplit/>
        </w:trPr>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严重食物过敏</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与 SKU 成分命中，如乳、豆、坚果、麸质、咖啡因等</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L2/L3</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阻断相关 SKU 推荐；严重过敏显示人工确认。</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这款产品可能含有你需要避开的成分。</w:t>
            </w:r>
          </w:p>
        </w:tc>
      </w:tr>
      <w:tr>
        <w:trPr>
          <w:cantSplit/>
        </w:trPr>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极端节食</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近 7 天经常 &lt;800 kcal/day、24h+ 禁食用于减重</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L3</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阻断减重建议；Sunny 转为安全支持。</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你值得更安全地被照顾，我们不建议继续压低摄入。</w:t>
            </w:r>
          </w:p>
        </w:tc>
      </w:tr>
      <w:tr>
        <w:trPr>
          <w:cantSplit/>
        </w:trPr>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疑似进食障碍行为</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催吐、泻药、暴食后惩罚性禁食、过度运动等</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L3</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阻断体重目标与产品建议；建议专业支持。</w:t>
            </w:r>
          </w:p>
        </w:tc>
        <w:tc>
          <w:tcPr>
            <w:tcW w:type="dxa" w:w="2131"/>
            <w:vAlign w:val="center"/>
            <w:tcBorders>
              <w:top w:sz="4" w:val="single" w:color="D9D0C6"/>
              <w:left w:sz="4" w:val="single" w:color="D9D0C6"/>
              <w:bottom w:sz="4" w:val="single" w:color="D9D0C6"/>
              <w:right w:sz="4" w:val="single" w:color="D9D0C6"/>
            </w:tcBorders>
            <w:shd w:fill="FBFAF7"/>
          </w:tcPr>
          <w:p>
            <w:pPr>
              <w:spacing w:after="40" w:before="0"/>
            </w:pPr>
            <w:r>
              <w:rPr>
                <w:rFonts w:ascii="Noto Sans CJK SC" w:hAnsi="Noto Sans CJK SC" w:eastAsia="Noto Sans CJK SC"/>
                <w:sz w:val="16"/>
              </w:rPr>
              <w:t>这些情况更适合专业支持，而不是普通减重计划。</w:t>
            </w:r>
          </w:p>
        </w:tc>
      </w:tr>
      <w:tr>
        <w:trPr>
          <w:cantSplit/>
        </w:trPr>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严重情绪危机</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自伤/自杀意图、计划或即时风险</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L4</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停止常规对话；展示当地紧急帮助与危机提示。</w:t>
            </w:r>
          </w:p>
        </w:tc>
        <w:tc>
          <w:tcPr>
            <w:tcW w:type="dxa" w:w="2131"/>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你现在的安全最重要，请立即联系当地紧急服务或可信任的人。</w:t>
            </w:r>
          </w:p>
        </w:tc>
      </w:tr>
    </w:tbl>
    <w:p>
      <w:pPr>
        <w:pStyle w:val="Heading1"/>
      </w:pPr>
      <w:r>
        <w:t>5. 风险分层输出与功能权限</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cantSplit/>
        </w:trPr>
        <w:tc>
          <w:tcPr>
            <w:tcW w:type="dxa" w:w="2664"/>
            <w:vAlign w:val="center"/>
            <w:tcBorders>
              <w:top w:sz="4" w:val="single" w:color="D9D0C6"/>
              <w:left w:sz="4" w:val="single" w:color="D9D0C6"/>
              <w:bottom w:sz="4" w:val="single" w:color="D9D0C6"/>
              <w:right w:sz="4" w:val="single" w:color="D9D0C6"/>
            </w:tcBorders>
            <w:shd w:fill="556743"/>
          </w:tcPr>
          <w:p>
            <w:pPr>
              <w:spacing w:after="40" w:before="0"/>
            </w:pPr>
            <w:r>
              <w:rPr>
                <w:rFonts w:ascii="Noto Sans CJK SC" w:hAnsi="Noto Sans CJK SC" w:eastAsia="Noto Sans CJK SC"/>
                <w:b/>
                <w:color w:val="FFFFFF"/>
                <w:sz w:val="16"/>
              </w:rPr>
              <w:t>输出字段</w:t>
            </w:r>
          </w:p>
        </w:tc>
        <w:tc>
          <w:tcPr>
            <w:tcW w:type="dxa" w:w="2664"/>
            <w:vAlign w:val="center"/>
            <w:tcBorders>
              <w:top w:sz="4" w:val="single" w:color="D9D0C6"/>
              <w:left w:sz="4" w:val="single" w:color="D9D0C6"/>
              <w:bottom w:sz="4" w:val="single" w:color="D9D0C6"/>
              <w:right w:sz="4" w:val="single" w:color="D9D0C6"/>
            </w:tcBorders>
            <w:shd w:fill="556743"/>
          </w:tcPr>
          <w:p>
            <w:pPr>
              <w:spacing w:after="40" w:before="0"/>
            </w:pPr>
            <w:r>
              <w:rPr>
                <w:rFonts w:ascii="Noto Sans CJK SC" w:hAnsi="Noto Sans CJK SC" w:eastAsia="Noto Sans CJK SC"/>
                <w:b/>
                <w:color w:val="FFFFFF"/>
                <w:sz w:val="16"/>
              </w:rPr>
              <w:t>类型</w:t>
            </w:r>
          </w:p>
        </w:tc>
        <w:tc>
          <w:tcPr>
            <w:tcW w:type="dxa" w:w="2664"/>
            <w:vAlign w:val="center"/>
            <w:tcBorders>
              <w:top w:sz="4" w:val="single" w:color="D9D0C6"/>
              <w:left w:sz="4" w:val="single" w:color="D9D0C6"/>
              <w:bottom w:sz="4" w:val="single" w:color="D9D0C6"/>
              <w:right w:sz="4" w:val="single" w:color="D9D0C6"/>
            </w:tcBorders>
            <w:shd w:fill="556743"/>
          </w:tcPr>
          <w:p>
            <w:pPr>
              <w:spacing w:after="40" w:before="0"/>
            </w:pPr>
            <w:r>
              <w:rPr>
                <w:rFonts w:ascii="Noto Sans CJK SC" w:hAnsi="Noto Sans CJK SC" w:eastAsia="Noto Sans CJK SC"/>
                <w:b/>
                <w:color w:val="FFFFFF"/>
                <w:sz w:val="16"/>
              </w:rPr>
              <w:t>示例</w:t>
            </w:r>
          </w:p>
        </w:tc>
        <w:tc>
          <w:tcPr>
            <w:tcW w:type="dxa" w:w="2664"/>
            <w:vAlign w:val="center"/>
            <w:tcBorders>
              <w:top w:sz="4" w:val="single" w:color="D9D0C6"/>
              <w:left w:sz="4" w:val="single" w:color="D9D0C6"/>
              <w:bottom w:sz="4" w:val="single" w:color="D9D0C6"/>
              <w:right w:sz="4" w:val="single" w:color="D9D0C6"/>
            </w:tcBorders>
            <w:shd w:fill="556743"/>
          </w:tcPr>
          <w:p>
            <w:pPr>
              <w:spacing w:after="40" w:before="0"/>
            </w:pPr>
            <w:r>
              <w:rPr>
                <w:rFonts w:ascii="Noto Sans CJK SC" w:hAnsi="Noto Sans CJK SC" w:eastAsia="Noto Sans CJK SC"/>
                <w:b/>
                <w:color w:val="FFFFFF"/>
                <w:sz w:val="16"/>
              </w:rPr>
              <w:t>用途</w:t>
            </w:r>
          </w:p>
        </w:tc>
      </w:tr>
      <w:tr>
        <w:trPr>
          <w:cantSplit/>
        </w:trPr>
        <w:tc>
          <w:tcPr>
            <w:tcW w:type="dxa" w:w="266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risk_level</w:t>
            </w:r>
          </w:p>
        </w:tc>
        <w:tc>
          <w:tcPr>
            <w:tcW w:type="dxa" w:w="266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enum</w:t>
            </w:r>
          </w:p>
        </w:tc>
        <w:tc>
          <w:tcPr>
            <w:tcW w:type="dxa" w:w="266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L0/L1/L2/L3/L4</w:t>
            </w:r>
          </w:p>
        </w:tc>
        <w:tc>
          <w:tcPr>
            <w:tcW w:type="dxa" w:w="266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控制 Journey 进入、Sunny 路由、产品推荐权限。</w:t>
            </w:r>
          </w:p>
        </w:tc>
      </w:tr>
      <w:tr>
        <w:trPr>
          <w:cantSplit/>
        </w:trPr>
        <w:tc>
          <w:tcPr>
            <w:tcW w:type="dxa" w:w="2664"/>
            <w:vAlign w:val="center"/>
            <w:tcBorders>
              <w:top w:sz="4" w:val="single" w:color="D9D0C6"/>
              <w:left w:sz="4" w:val="single" w:color="D9D0C6"/>
              <w:bottom w:sz="4" w:val="single" w:color="D9D0C6"/>
              <w:right w:sz="4" w:val="single" w:color="D9D0C6"/>
            </w:tcBorders>
            <w:shd w:fill="F5F8F3"/>
          </w:tcPr>
          <w:p>
            <w:pPr>
              <w:spacing w:after="40" w:before="0"/>
            </w:pPr>
            <w:r>
              <w:rPr>
                <w:rFonts w:ascii="Noto Sans CJK SC" w:hAnsi="Noto Sans CJK SC" w:eastAsia="Noto Sans CJK SC"/>
                <w:sz w:val="16"/>
              </w:rPr>
              <w:t>risk_flags</w:t>
            </w:r>
          </w:p>
        </w:tc>
        <w:tc>
          <w:tcPr>
            <w:tcW w:type="dxa" w:w="2664"/>
            <w:vAlign w:val="center"/>
            <w:tcBorders>
              <w:top w:sz="4" w:val="single" w:color="D9D0C6"/>
              <w:left w:sz="4" w:val="single" w:color="D9D0C6"/>
              <w:bottom w:sz="4" w:val="single" w:color="D9D0C6"/>
              <w:right w:sz="4" w:val="single" w:color="D9D0C6"/>
            </w:tcBorders>
            <w:shd w:fill="F5F8F3"/>
          </w:tcPr>
          <w:p>
            <w:pPr>
              <w:spacing w:after="40" w:before="0"/>
            </w:pPr>
            <w:r>
              <w:rPr>
                <w:rFonts w:ascii="Noto Sans CJK SC" w:hAnsi="Noto Sans CJK SC" w:eastAsia="Noto Sans CJK SC"/>
                <w:sz w:val="16"/>
              </w:rPr>
              <w:t>array&lt;string&gt;</w:t>
            </w:r>
          </w:p>
        </w:tc>
        <w:tc>
          <w:tcPr>
            <w:tcW w:type="dxa" w:w="2664"/>
            <w:vAlign w:val="center"/>
            <w:tcBorders>
              <w:top w:sz="4" w:val="single" w:color="D9D0C6"/>
              <w:left w:sz="4" w:val="single" w:color="D9D0C6"/>
              <w:bottom w:sz="4" w:val="single" w:color="D9D0C6"/>
              <w:right w:sz="4" w:val="single" w:color="D9D0C6"/>
            </w:tcBorders>
            <w:shd w:fill="F5F8F3"/>
          </w:tcPr>
          <w:p>
            <w:pPr>
              <w:spacing w:after="40" w:before="0"/>
            </w:pPr>
            <w:r>
              <w:rPr>
                <w:rFonts w:ascii="Noto Sans CJK SC" w:hAnsi="Noto Sans CJK SC" w:eastAsia="Noto Sans CJK SC"/>
                <w:sz w:val="16"/>
              </w:rPr>
              <w:t>["bmi_underweight", "pregnancy"]</w:t>
            </w:r>
          </w:p>
        </w:tc>
        <w:tc>
          <w:tcPr>
            <w:tcW w:type="dxa" w:w="2664"/>
            <w:vAlign w:val="center"/>
            <w:tcBorders>
              <w:top w:sz="4" w:val="single" w:color="D9D0C6"/>
              <w:left w:sz="4" w:val="single" w:color="D9D0C6"/>
              <w:bottom w:sz="4" w:val="single" w:color="D9D0C6"/>
              <w:right w:sz="4" w:val="single" w:color="D9D0C6"/>
            </w:tcBorders>
            <w:shd w:fill="F5F8F3"/>
          </w:tcPr>
          <w:p>
            <w:pPr>
              <w:spacing w:after="40" w:before="0"/>
            </w:pPr>
            <w:r>
              <w:rPr>
                <w:rFonts w:ascii="Noto Sans CJK SC" w:hAnsi="Noto Sans CJK SC" w:eastAsia="Noto Sans CJK SC"/>
                <w:sz w:val="16"/>
              </w:rPr>
              <w:t>用于后台和 Sunny 安全提示，不直接全部暴露给用户。</w:t>
            </w:r>
          </w:p>
        </w:tc>
      </w:tr>
      <w:tr>
        <w:trPr>
          <w:cantSplit/>
        </w:trPr>
        <w:tc>
          <w:tcPr>
            <w:tcW w:type="dxa" w:w="266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blocked_actions</w:t>
            </w:r>
          </w:p>
        </w:tc>
        <w:tc>
          <w:tcPr>
            <w:tcW w:type="dxa" w:w="266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array&lt;string&gt;</w:t>
            </w:r>
          </w:p>
        </w:tc>
        <w:tc>
          <w:tcPr>
            <w:tcW w:type="dxa" w:w="266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["start_slim_journey", "recommend_meal_replacement"]</w:t>
            </w:r>
          </w:p>
        </w:tc>
        <w:tc>
          <w:tcPr>
            <w:tcW w:type="dxa" w:w="266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前端根据动作隐藏/禁用入口。</w:t>
            </w:r>
          </w:p>
        </w:tc>
      </w:tr>
      <w:tr>
        <w:trPr>
          <w:cantSplit/>
        </w:trPr>
        <w:tc>
          <w:tcPr>
            <w:tcW w:type="dxa" w:w="2664"/>
            <w:vAlign w:val="center"/>
            <w:tcBorders>
              <w:top w:sz="4" w:val="single" w:color="D9D0C6"/>
              <w:left w:sz="4" w:val="single" w:color="D9D0C6"/>
              <w:bottom w:sz="4" w:val="single" w:color="D9D0C6"/>
              <w:right w:sz="4" w:val="single" w:color="D9D0C6"/>
            </w:tcBorders>
            <w:shd w:fill="F5F8F3"/>
          </w:tcPr>
          <w:p>
            <w:pPr>
              <w:spacing w:after="40" w:before="0"/>
            </w:pPr>
            <w:r>
              <w:rPr>
                <w:rFonts w:ascii="Noto Sans CJK SC" w:hAnsi="Noto Sans CJK SC" w:eastAsia="Noto Sans CJK SC"/>
                <w:sz w:val="16"/>
              </w:rPr>
              <w:t>allowed_mode</w:t>
            </w:r>
          </w:p>
        </w:tc>
        <w:tc>
          <w:tcPr>
            <w:tcW w:type="dxa" w:w="2664"/>
            <w:vAlign w:val="center"/>
            <w:tcBorders>
              <w:top w:sz="4" w:val="single" w:color="D9D0C6"/>
              <w:left w:sz="4" w:val="single" w:color="D9D0C6"/>
              <w:bottom w:sz="4" w:val="single" w:color="D9D0C6"/>
              <w:right w:sz="4" w:val="single" w:color="D9D0C6"/>
            </w:tcBorders>
            <w:shd w:fill="F5F8F3"/>
          </w:tcPr>
          <w:p>
            <w:pPr>
              <w:spacing w:after="40" w:before="0"/>
            </w:pPr>
            <w:r>
              <w:rPr>
                <w:rFonts w:ascii="Noto Sans CJK SC" w:hAnsi="Noto Sans CJK SC" w:eastAsia="Noto Sans CJK SC"/>
                <w:sz w:val="16"/>
              </w:rPr>
              <w:t>enum</w:t>
            </w:r>
          </w:p>
        </w:tc>
        <w:tc>
          <w:tcPr>
            <w:tcW w:type="dxa" w:w="2664"/>
            <w:vAlign w:val="center"/>
            <w:tcBorders>
              <w:top w:sz="4" w:val="single" w:color="D9D0C6"/>
              <w:left w:sz="4" w:val="single" w:color="D9D0C6"/>
              <w:bottom w:sz="4" w:val="single" w:color="D9D0C6"/>
              <w:right w:sz="4" w:val="single" w:color="D9D0C6"/>
            </w:tcBorders>
            <w:shd w:fill="F5F8F3"/>
          </w:tcPr>
          <w:p>
            <w:pPr>
              <w:spacing w:after="40" w:before="0"/>
            </w:pPr>
            <w:r>
              <w:rPr>
                <w:rFonts w:ascii="Noto Sans CJK SC" w:hAnsi="Noto Sans CJK SC" w:eastAsia="Noto Sans CJK SC"/>
                <w:sz w:val="16"/>
              </w:rPr>
              <w:t>slim_journey / gentle_habit / record_only / blocked</w:t>
            </w:r>
          </w:p>
        </w:tc>
        <w:tc>
          <w:tcPr>
            <w:tcW w:type="dxa" w:w="2664"/>
            <w:vAlign w:val="center"/>
            <w:tcBorders>
              <w:top w:sz="4" w:val="single" w:color="D9D0C6"/>
              <w:left w:sz="4" w:val="single" w:color="D9D0C6"/>
              <w:bottom w:sz="4" w:val="single" w:color="D9D0C6"/>
              <w:right w:sz="4" w:val="single" w:color="D9D0C6"/>
            </w:tcBorders>
            <w:shd w:fill="F5F8F3"/>
          </w:tcPr>
          <w:p>
            <w:pPr>
              <w:spacing w:after="40" w:before="0"/>
            </w:pPr>
            <w:r>
              <w:rPr>
                <w:rFonts w:ascii="Noto Sans CJK SC" w:hAnsi="Noto Sans CJK SC" w:eastAsia="Noto Sans CJK SC"/>
                <w:sz w:val="16"/>
              </w:rPr>
              <w:t>决定用户进入哪种体验模式。</w:t>
            </w:r>
          </w:p>
        </w:tc>
      </w:tr>
      <w:tr>
        <w:trPr>
          <w:cantSplit/>
        </w:trPr>
        <w:tc>
          <w:tcPr>
            <w:tcW w:type="dxa" w:w="266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disclaimer_variant</w:t>
            </w:r>
          </w:p>
        </w:tc>
        <w:tc>
          <w:tcPr>
            <w:tcW w:type="dxa" w:w="266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string</w:t>
            </w:r>
          </w:p>
        </w:tc>
        <w:tc>
          <w:tcPr>
            <w:tcW w:type="dxa" w:w="266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us_general / mx_sensitive_data / medical_review</w:t>
            </w:r>
          </w:p>
        </w:tc>
        <w:tc>
          <w:tcPr>
            <w:tcW w:type="dxa" w:w="266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展示对应市场文案。</w:t>
            </w:r>
          </w:p>
        </w:tc>
      </w:tr>
      <w:tr>
        <w:trPr>
          <w:cantSplit/>
        </w:trPr>
        <w:tc>
          <w:tcPr>
            <w:tcW w:type="dxa" w:w="2664"/>
            <w:vAlign w:val="center"/>
            <w:tcBorders>
              <w:top w:sz="4" w:val="single" w:color="D9D0C6"/>
              <w:left w:sz="4" w:val="single" w:color="D9D0C6"/>
              <w:bottom w:sz="4" w:val="single" w:color="D9D0C6"/>
              <w:right w:sz="4" w:val="single" w:color="D9D0C6"/>
            </w:tcBorders>
            <w:shd w:fill="F5F8F3"/>
          </w:tcPr>
          <w:p>
            <w:pPr>
              <w:spacing w:after="40" w:before="0"/>
            </w:pPr>
            <w:r>
              <w:rPr>
                <w:rFonts w:ascii="Noto Sans CJK SC" w:hAnsi="Noto Sans CJK SC" w:eastAsia="Noto Sans CJK SC"/>
                <w:sz w:val="16"/>
              </w:rPr>
              <w:t>professional_review_required</w:t>
            </w:r>
          </w:p>
        </w:tc>
        <w:tc>
          <w:tcPr>
            <w:tcW w:type="dxa" w:w="2664"/>
            <w:vAlign w:val="center"/>
            <w:tcBorders>
              <w:top w:sz="4" w:val="single" w:color="D9D0C6"/>
              <w:left w:sz="4" w:val="single" w:color="D9D0C6"/>
              <w:bottom w:sz="4" w:val="single" w:color="D9D0C6"/>
              <w:right w:sz="4" w:val="single" w:color="D9D0C6"/>
            </w:tcBorders>
            <w:shd w:fill="F5F8F3"/>
          </w:tcPr>
          <w:p>
            <w:pPr>
              <w:spacing w:after="40" w:before="0"/>
            </w:pPr>
            <w:r>
              <w:rPr>
                <w:rFonts w:ascii="Noto Sans CJK SC" w:hAnsi="Noto Sans CJK SC" w:eastAsia="Noto Sans CJK SC"/>
                <w:sz w:val="16"/>
              </w:rPr>
              <w:t>boolean</w:t>
            </w:r>
          </w:p>
        </w:tc>
        <w:tc>
          <w:tcPr>
            <w:tcW w:type="dxa" w:w="2664"/>
            <w:vAlign w:val="center"/>
            <w:tcBorders>
              <w:top w:sz="4" w:val="single" w:color="D9D0C6"/>
              <w:left w:sz="4" w:val="single" w:color="D9D0C6"/>
              <w:bottom w:sz="4" w:val="single" w:color="D9D0C6"/>
              <w:right w:sz="4" w:val="single" w:color="D9D0C6"/>
            </w:tcBorders>
            <w:shd w:fill="F5F8F3"/>
          </w:tcPr>
          <w:p>
            <w:pPr>
              <w:spacing w:after="40" w:before="0"/>
            </w:pPr>
            <w:r>
              <w:rPr>
                <w:rFonts w:ascii="Noto Sans CJK SC" w:hAnsi="Noto Sans CJK SC" w:eastAsia="Noto Sans CJK SC"/>
                <w:sz w:val="16"/>
              </w:rPr>
              <w:t>true</w:t>
            </w:r>
          </w:p>
        </w:tc>
        <w:tc>
          <w:tcPr>
            <w:tcW w:type="dxa" w:w="2664"/>
            <w:vAlign w:val="center"/>
            <w:tcBorders>
              <w:top w:sz="4" w:val="single" w:color="D9D0C6"/>
              <w:left w:sz="4" w:val="single" w:color="D9D0C6"/>
              <w:bottom w:sz="4" w:val="single" w:color="D9D0C6"/>
              <w:right w:sz="4" w:val="single" w:color="D9D0C6"/>
            </w:tcBorders>
            <w:shd w:fill="F5F8F3"/>
          </w:tcPr>
          <w:p>
            <w:pPr>
              <w:spacing w:after="40" w:before="0"/>
            </w:pPr>
            <w:r>
              <w:rPr>
                <w:rFonts w:ascii="Noto Sans CJK SC" w:hAnsi="Noto Sans CJK SC" w:eastAsia="Noto Sans CJK SC"/>
                <w:sz w:val="16"/>
              </w:rPr>
              <w:t>是否需要人工营养师或客服承接。</w:t>
            </w:r>
          </w:p>
        </w:tc>
      </w:tr>
      <w:tr>
        <w:trPr>
          <w:cantSplit/>
        </w:trPr>
        <w:tc>
          <w:tcPr>
            <w:tcW w:type="dxa" w:w="266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consent_version</w:t>
            </w:r>
          </w:p>
        </w:tc>
        <w:tc>
          <w:tcPr>
            <w:tcW w:type="dxa" w:w="266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string</w:t>
            </w:r>
          </w:p>
        </w:tc>
        <w:tc>
          <w:tcPr>
            <w:tcW w:type="dxa" w:w="266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health_notice_v1.0_us_en</w:t>
            </w:r>
          </w:p>
        </w:tc>
        <w:tc>
          <w:tcPr>
            <w:tcW w:type="dxa" w:w="266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留存用户授权版本。</w:t>
            </w:r>
          </w:p>
        </w:tc>
      </w:tr>
    </w:tbl>
    <w:p>
      <w:pPr>
        <w:pStyle w:val="Heading1"/>
      </w:pPr>
      <w:r>
        <w:t>6. 页面与交互落地建议</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cantSplit/>
        </w:trPr>
        <w:tc>
          <w:tcPr>
            <w:tcW w:type="dxa" w:w="2664"/>
            <w:vAlign w:val="center"/>
            <w:tcBorders>
              <w:top w:sz="4" w:val="single" w:color="D9D0C6"/>
              <w:left w:sz="4" w:val="single" w:color="D9D0C6"/>
              <w:bottom w:sz="4" w:val="single" w:color="D9D0C6"/>
              <w:right w:sz="4" w:val="single" w:color="D9D0C6"/>
            </w:tcBorders>
            <w:shd w:fill="556743"/>
          </w:tcPr>
          <w:p>
            <w:pPr>
              <w:spacing w:after="40" w:before="0"/>
            </w:pPr>
            <w:r>
              <w:rPr>
                <w:rFonts w:ascii="Noto Sans CJK SC" w:hAnsi="Noto Sans CJK SC" w:eastAsia="Noto Sans CJK SC"/>
                <w:b/>
                <w:color w:val="FFFFFF"/>
                <w:sz w:val="16"/>
              </w:rPr>
              <w:t>页面</w:t>
            </w:r>
          </w:p>
        </w:tc>
        <w:tc>
          <w:tcPr>
            <w:tcW w:type="dxa" w:w="2664"/>
            <w:vAlign w:val="center"/>
            <w:tcBorders>
              <w:top w:sz="4" w:val="single" w:color="D9D0C6"/>
              <w:left w:sz="4" w:val="single" w:color="D9D0C6"/>
              <w:bottom w:sz="4" w:val="single" w:color="D9D0C6"/>
              <w:right w:sz="4" w:val="single" w:color="D9D0C6"/>
            </w:tcBorders>
            <w:shd w:fill="556743"/>
          </w:tcPr>
          <w:p>
            <w:pPr>
              <w:spacing w:after="40" w:before="0"/>
            </w:pPr>
            <w:r>
              <w:rPr>
                <w:rFonts w:ascii="Noto Sans CJK SC" w:hAnsi="Noto Sans CJK SC" w:eastAsia="Noto Sans CJK SC"/>
                <w:b/>
                <w:color w:val="FFFFFF"/>
                <w:sz w:val="16"/>
              </w:rPr>
              <w:t>展示内容</w:t>
            </w:r>
          </w:p>
        </w:tc>
        <w:tc>
          <w:tcPr>
            <w:tcW w:type="dxa" w:w="2664"/>
            <w:vAlign w:val="center"/>
            <w:tcBorders>
              <w:top w:sz="4" w:val="single" w:color="D9D0C6"/>
              <w:left w:sz="4" w:val="single" w:color="D9D0C6"/>
              <w:bottom w:sz="4" w:val="single" w:color="D9D0C6"/>
              <w:right w:sz="4" w:val="single" w:color="D9D0C6"/>
            </w:tcBorders>
            <w:shd w:fill="556743"/>
          </w:tcPr>
          <w:p>
            <w:pPr>
              <w:spacing w:after="40" w:before="0"/>
            </w:pPr>
            <w:r>
              <w:rPr>
                <w:rFonts w:ascii="Noto Sans CJK SC" w:hAnsi="Noto Sans CJK SC" w:eastAsia="Noto Sans CJK SC"/>
                <w:b/>
                <w:color w:val="FFFFFF"/>
                <w:sz w:val="16"/>
              </w:rPr>
              <w:t>交互重点</w:t>
            </w:r>
          </w:p>
        </w:tc>
        <w:tc>
          <w:tcPr>
            <w:tcW w:type="dxa" w:w="2664"/>
            <w:vAlign w:val="center"/>
            <w:tcBorders>
              <w:top w:sz="4" w:val="single" w:color="D9D0C6"/>
              <w:left w:sz="4" w:val="single" w:color="D9D0C6"/>
              <w:bottom w:sz="4" w:val="single" w:color="D9D0C6"/>
              <w:right w:sz="4" w:val="single" w:color="D9D0C6"/>
            </w:tcBorders>
            <w:shd w:fill="556743"/>
          </w:tcPr>
          <w:p>
            <w:pPr>
              <w:spacing w:after="40" w:before="0"/>
            </w:pPr>
            <w:r>
              <w:rPr>
                <w:rFonts w:ascii="Noto Sans CJK SC" w:hAnsi="Noto Sans CJK SC" w:eastAsia="Noto Sans CJK SC"/>
                <w:b/>
                <w:color w:val="FFFFFF"/>
                <w:sz w:val="16"/>
              </w:rPr>
              <w:t>Demo 状态</w:t>
            </w:r>
          </w:p>
        </w:tc>
      </w:tr>
      <w:tr>
        <w:trPr>
          <w:cantSplit/>
        </w:trPr>
        <w:tc>
          <w:tcPr>
            <w:tcW w:type="dxa" w:w="266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Onboarding Intro</w:t>
            </w:r>
          </w:p>
        </w:tc>
        <w:tc>
          <w:tcPr>
            <w:tcW w:type="dxa" w:w="266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“Sunny 会先了解一点你的身体状态，好让计划更安全。”</w:t>
            </w:r>
          </w:p>
        </w:tc>
        <w:tc>
          <w:tcPr>
            <w:tcW w:type="dxa" w:w="266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弱化医疗感，强调更好陪伴。</w:t>
            </w:r>
          </w:p>
        </w:tc>
        <w:tc>
          <w:tcPr>
            <w:tcW w:type="dxa" w:w="266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必须做</w:t>
            </w:r>
          </w:p>
        </w:tc>
      </w:tr>
      <w:tr>
        <w:trPr>
          <w:cantSplit/>
        </w:trPr>
        <w:tc>
          <w:tcPr>
            <w:tcW w:type="dxa" w:w="2664"/>
            <w:vAlign w:val="center"/>
            <w:tcBorders>
              <w:top w:sz="4" w:val="single" w:color="D9D0C6"/>
              <w:left w:sz="4" w:val="single" w:color="D9D0C6"/>
              <w:bottom w:sz="4" w:val="single" w:color="D9D0C6"/>
              <w:right w:sz="4" w:val="single" w:color="D9D0C6"/>
            </w:tcBorders>
            <w:shd w:fill="F5F8F3"/>
          </w:tcPr>
          <w:p>
            <w:pPr>
              <w:spacing w:after="40" w:before="0"/>
            </w:pPr>
            <w:r>
              <w:rPr>
                <w:rFonts w:ascii="Noto Sans CJK SC" w:hAnsi="Noto Sans CJK SC" w:eastAsia="Noto Sans CJK SC"/>
                <w:sz w:val="16"/>
              </w:rPr>
              <w:t>Basic Profile</w:t>
            </w:r>
          </w:p>
        </w:tc>
        <w:tc>
          <w:tcPr>
            <w:tcW w:type="dxa" w:w="2664"/>
            <w:vAlign w:val="center"/>
            <w:tcBorders>
              <w:top w:sz="4" w:val="single" w:color="D9D0C6"/>
              <w:left w:sz="4" w:val="single" w:color="D9D0C6"/>
              <w:bottom w:sz="4" w:val="single" w:color="D9D0C6"/>
              <w:right w:sz="4" w:val="single" w:color="D9D0C6"/>
            </w:tcBorders>
            <w:shd w:fill="F5F8F3"/>
          </w:tcPr>
          <w:p>
            <w:pPr>
              <w:spacing w:after="40" w:before="0"/>
            </w:pPr>
            <w:r>
              <w:rPr>
                <w:rFonts w:ascii="Noto Sans CJK SC" w:hAnsi="Noto Sans CJK SC" w:eastAsia="Noto Sans CJK SC"/>
                <w:sz w:val="16"/>
              </w:rPr>
              <w:t>年龄、地区、语言、单位、身高体重、目标。</w:t>
            </w:r>
          </w:p>
        </w:tc>
        <w:tc>
          <w:tcPr>
            <w:tcW w:type="dxa" w:w="2664"/>
            <w:vAlign w:val="center"/>
            <w:tcBorders>
              <w:top w:sz="4" w:val="single" w:color="D9D0C6"/>
              <w:left w:sz="4" w:val="single" w:color="D9D0C6"/>
              <w:bottom w:sz="4" w:val="single" w:color="D9D0C6"/>
              <w:right w:sz="4" w:val="single" w:color="D9D0C6"/>
            </w:tcBorders>
            <w:shd w:fill="F5F8F3"/>
          </w:tcPr>
          <w:p>
            <w:pPr>
              <w:spacing w:after="40" w:before="0"/>
            </w:pPr>
            <w:r>
              <w:rPr>
                <w:rFonts w:ascii="Noto Sans CJK SC" w:hAnsi="Noto Sans CJK SC" w:eastAsia="Noto Sans CJK SC"/>
                <w:sz w:val="16"/>
              </w:rPr>
              <w:t>单位随国家默认，可手动切换。</w:t>
            </w:r>
          </w:p>
        </w:tc>
        <w:tc>
          <w:tcPr>
            <w:tcW w:type="dxa" w:w="2664"/>
            <w:vAlign w:val="center"/>
            <w:tcBorders>
              <w:top w:sz="4" w:val="single" w:color="D9D0C6"/>
              <w:left w:sz="4" w:val="single" w:color="D9D0C6"/>
              <w:bottom w:sz="4" w:val="single" w:color="D9D0C6"/>
              <w:right w:sz="4" w:val="single" w:color="D9D0C6"/>
            </w:tcBorders>
            <w:shd w:fill="F5F8F3"/>
          </w:tcPr>
          <w:p>
            <w:pPr>
              <w:spacing w:after="40" w:before="0"/>
            </w:pPr>
            <w:r>
              <w:rPr>
                <w:rFonts w:ascii="Noto Sans CJK SC" w:hAnsi="Noto Sans CJK SC" w:eastAsia="Noto Sans CJK SC"/>
                <w:sz w:val="16"/>
              </w:rPr>
              <w:t>必须做</w:t>
            </w:r>
          </w:p>
        </w:tc>
      </w:tr>
      <w:tr>
        <w:trPr>
          <w:cantSplit/>
        </w:trPr>
        <w:tc>
          <w:tcPr>
            <w:tcW w:type="dxa" w:w="266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Health Check</w:t>
            </w:r>
          </w:p>
        </w:tc>
        <w:tc>
          <w:tcPr>
            <w:tcW w:type="dxa" w:w="266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孕期/慢病/用药/过敏/饮食行为风险/情绪安全。</w:t>
            </w:r>
          </w:p>
        </w:tc>
        <w:tc>
          <w:tcPr>
            <w:tcW w:type="dxa" w:w="266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使用卡片选择，不要一次堆满。</w:t>
            </w:r>
          </w:p>
        </w:tc>
        <w:tc>
          <w:tcPr>
            <w:tcW w:type="dxa" w:w="266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必须做</w:t>
            </w:r>
          </w:p>
        </w:tc>
      </w:tr>
      <w:tr>
        <w:trPr>
          <w:cantSplit/>
        </w:trPr>
        <w:tc>
          <w:tcPr>
            <w:tcW w:type="dxa" w:w="2664"/>
            <w:vAlign w:val="center"/>
            <w:tcBorders>
              <w:top w:sz="4" w:val="single" w:color="D9D0C6"/>
              <w:left w:sz="4" w:val="single" w:color="D9D0C6"/>
              <w:bottom w:sz="4" w:val="single" w:color="D9D0C6"/>
              <w:right w:sz="4" w:val="single" w:color="D9D0C6"/>
            </w:tcBorders>
            <w:shd w:fill="F5F8F3"/>
          </w:tcPr>
          <w:p>
            <w:pPr>
              <w:spacing w:after="40" w:before="0"/>
            </w:pPr>
            <w:r>
              <w:rPr>
                <w:rFonts w:ascii="Noto Sans CJK SC" w:hAnsi="Noto Sans CJK SC" w:eastAsia="Noto Sans CJK SC"/>
                <w:sz w:val="16"/>
              </w:rPr>
              <w:t>Risk Result</w:t>
            </w:r>
          </w:p>
        </w:tc>
        <w:tc>
          <w:tcPr>
            <w:tcW w:type="dxa" w:w="2664"/>
            <w:vAlign w:val="center"/>
            <w:tcBorders>
              <w:top w:sz="4" w:val="single" w:color="D9D0C6"/>
              <w:left w:sz="4" w:val="single" w:color="D9D0C6"/>
              <w:bottom w:sz="4" w:val="single" w:color="D9D0C6"/>
              <w:right w:sz="4" w:val="single" w:color="D9D0C6"/>
            </w:tcBorders>
            <w:shd w:fill="F5F8F3"/>
          </w:tcPr>
          <w:p>
            <w:pPr>
              <w:spacing w:after="40" w:before="0"/>
            </w:pPr>
            <w:r>
              <w:rPr>
                <w:rFonts w:ascii="Noto Sans CJK SC" w:hAnsi="Noto Sans CJK SC" w:eastAsia="Noto Sans CJK SC"/>
                <w:sz w:val="16"/>
              </w:rPr>
              <w:t>绿色进入 Journey；黄色温和计划；橙/红显示专业建议。</w:t>
            </w:r>
          </w:p>
        </w:tc>
        <w:tc>
          <w:tcPr>
            <w:tcW w:type="dxa" w:w="2664"/>
            <w:vAlign w:val="center"/>
            <w:tcBorders>
              <w:top w:sz="4" w:val="single" w:color="D9D0C6"/>
              <w:left w:sz="4" w:val="single" w:color="D9D0C6"/>
              <w:bottom w:sz="4" w:val="single" w:color="D9D0C6"/>
              <w:right w:sz="4" w:val="single" w:color="D9D0C6"/>
            </w:tcBorders>
            <w:shd w:fill="F5F8F3"/>
          </w:tcPr>
          <w:p>
            <w:pPr>
              <w:spacing w:after="40" w:before="0"/>
            </w:pPr>
            <w:r>
              <w:rPr>
                <w:rFonts w:ascii="Noto Sans CJK SC" w:hAnsi="Noto Sans CJK SC" w:eastAsia="Noto Sans CJK SC"/>
                <w:sz w:val="16"/>
              </w:rPr>
              <w:t>高风险用户不显示“失败”。</w:t>
            </w:r>
          </w:p>
        </w:tc>
        <w:tc>
          <w:tcPr>
            <w:tcW w:type="dxa" w:w="2664"/>
            <w:vAlign w:val="center"/>
            <w:tcBorders>
              <w:top w:sz="4" w:val="single" w:color="D9D0C6"/>
              <w:left w:sz="4" w:val="single" w:color="D9D0C6"/>
              <w:bottom w:sz="4" w:val="single" w:color="D9D0C6"/>
              <w:right w:sz="4" w:val="single" w:color="D9D0C6"/>
            </w:tcBorders>
            <w:shd w:fill="F5F8F3"/>
          </w:tcPr>
          <w:p>
            <w:pPr>
              <w:spacing w:after="40" w:before="0"/>
            </w:pPr>
            <w:r>
              <w:rPr>
                <w:rFonts w:ascii="Noto Sans CJK SC" w:hAnsi="Noto Sans CJK SC" w:eastAsia="Noto Sans CJK SC"/>
                <w:sz w:val="16"/>
              </w:rPr>
              <w:t>必须做</w:t>
            </w:r>
          </w:p>
        </w:tc>
      </w:tr>
      <w:tr>
        <w:trPr>
          <w:cantSplit/>
        </w:trPr>
        <w:tc>
          <w:tcPr>
            <w:tcW w:type="dxa" w:w="266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Consent Modal</w:t>
            </w:r>
          </w:p>
        </w:tc>
        <w:tc>
          <w:tcPr>
            <w:tcW w:type="dxa" w:w="266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非医疗建议、数据用途、产品成分需自行确认。</w:t>
            </w:r>
          </w:p>
        </w:tc>
        <w:tc>
          <w:tcPr>
            <w:tcW w:type="dxa" w:w="266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同意后进入可用模式。</w:t>
            </w:r>
          </w:p>
        </w:tc>
        <w:tc>
          <w:tcPr>
            <w:tcW w:type="dxa" w:w="2664"/>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必须做</w:t>
            </w:r>
          </w:p>
        </w:tc>
      </w:tr>
      <w:tr>
        <w:trPr>
          <w:cantSplit/>
        </w:trPr>
        <w:tc>
          <w:tcPr>
            <w:tcW w:type="dxa" w:w="2664"/>
            <w:vAlign w:val="center"/>
            <w:tcBorders>
              <w:top w:sz="4" w:val="single" w:color="D9D0C6"/>
              <w:left w:sz="4" w:val="single" w:color="D9D0C6"/>
              <w:bottom w:sz="4" w:val="single" w:color="D9D0C6"/>
              <w:right w:sz="4" w:val="single" w:color="D9D0C6"/>
            </w:tcBorders>
            <w:shd w:fill="F5F8F3"/>
          </w:tcPr>
          <w:p>
            <w:pPr>
              <w:spacing w:after="40" w:before="0"/>
            </w:pPr>
            <w:r>
              <w:rPr>
                <w:rFonts w:ascii="Noto Sans CJK SC" w:hAnsi="Noto Sans CJK SC" w:eastAsia="Noto Sans CJK SC"/>
                <w:sz w:val="16"/>
              </w:rPr>
              <w:t>Admin Preview</w:t>
            </w:r>
          </w:p>
        </w:tc>
        <w:tc>
          <w:tcPr>
            <w:tcW w:type="dxa" w:w="2664"/>
            <w:vAlign w:val="center"/>
            <w:tcBorders>
              <w:top w:sz="4" w:val="single" w:color="D9D0C6"/>
              <w:left w:sz="4" w:val="single" w:color="D9D0C6"/>
              <w:bottom w:sz="4" w:val="single" w:color="D9D0C6"/>
              <w:right w:sz="4" w:val="single" w:color="D9D0C6"/>
            </w:tcBorders>
            <w:shd w:fill="F5F8F3"/>
          </w:tcPr>
          <w:p>
            <w:pPr>
              <w:spacing w:after="40" w:before="0"/>
            </w:pPr>
            <w:r>
              <w:rPr>
                <w:rFonts w:ascii="Noto Sans CJK SC" w:hAnsi="Noto Sans CJK SC" w:eastAsia="Noto Sans CJK SC"/>
                <w:sz w:val="16"/>
              </w:rPr>
              <w:t>风险标签、规则命中、用户分层、人工跟进状态。</w:t>
            </w:r>
          </w:p>
        </w:tc>
        <w:tc>
          <w:tcPr>
            <w:tcW w:type="dxa" w:w="2664"/>
            <w:vAlign w:val="center"/>
            <w:tcBorders>
              <w:top w:sz="4" w:val="single" w:color="D9D0C6"/>
              <w:left w:sz="4" w:val="single" w:color="D9D0C6"/>
              <w:bottom w:sz="4" w:val="single" w:color="D9D0C6"/>
              <w:right w:sz="4" w:val="single" w:color="D9D0C6"/>
            </w:tcBorders>
            <w:shd w:fill="F5F8F3"/>
          </w:tcPr>
          <w:p>
            <w:pPr>
              <w:spacing w:after="40" w:before="0"/>
            </w:pPr>
            <w:r>
              <w:rPr>
                <w:rFonts w:ascii="Noto Sans CJK SC" w:hAnsi="Noto Sans CJK SC" w:eastAsia="Noto Sans CJK SC"/>
                <w:sz w:val="16"/>
              </w:rPr>
              <w:t>Demo 可用静态数据展示。</w:t>
            </w:r>
          </w:p>
        </w:tc>
        <w:tc>
          <w:tcPr>
            <w:tcW w:type="dxa" w:w="2664"/>
            <w:vAlign w:val="center"/>
            <w:tcBorders>
              <w:top w:sz="4" w:val="single" w:color="D9D0C6"/>
              <w:left w:sz="4" w:val="single" w:color="D9D0C6"/>
              <w:bottom w:sz="4" w:val="single" w:color="D9D0C6"/>
              <w:right w:sz="4" w:val="single" w:color="D9D0C6"/>
            </w:tcBorders>
            <w:shd w:fill="F5F8F3"/>
          </w:tcPr>
          <w:p>
            <w:pPr>
              <w:spacing w:after="40" w:before="0"/>
            </w:pPr>
            <w:r>
              <w:rPr>
                <w:rFonts w:ascii="Noto Sans CJK SC" w:hAnsi="Noto Sans CJK SC" w:eastAsia="Noto Sans CJK SC"/>
                <w:sz w:val="16"/>
              </w:rPr>
              <w:t>预留</w:t>
            </w:r>
          </w:p>
        </w:tc>
      </w:tr>
    </w:tbl>
    <w:p>
      <w:pPr>
        <w:pStyle w:val="Heading1"/>
      </w:pPr>
      <w:r>
        <w:t>7. Sunny 风险提示话术框架</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cantSplit/>
        </w:trPr>
        <w:tc>
          <w:tcPr>
            <w:tcW w:type="dxa" w:w="3552"/>
            <w:vAlign w:val="center"/>
            <w:tcBorders>
              <w:top w:sz="4" w:val="single" w:color="D9D0C6"/>
              <w:left w:sz="4" w:val="single" w:color="D9D0C6"/>
              <w:bottom w:sz="4" w:val="single" w:color="D9D0C6"/>
              <w:right w:sz="4" w:val="single" w:color="D9D0C6"/>
            </w:tcBorders>
            <w:shd w:fill="A96F5F"/>
          </w:tcPr>
          <w:p>
            <w:pPr>
              <w:spacing w:after="40" w:before="0"/>
            </w:pPr>
            <w:r>
              <w:rPr>
                <w:rFonts w:ascii="Noto Sans CJK SC" w:hAnsi="Noto Sans CJK SC" w:eastAsia="Noto Sans CJK SC"/>
                <w:b/>
                <w:color w:val="FFFFFF"/>
                <w:sz w:val="16"/>
              </w:rPr>
              <w:t>场景</w:t>
            </w:r>
          </w:p>
        </w:tc>
        <w:tc>
          <w:tcPr>
            <w:tcW w:type="dxa" w:w="3552"/>
            <w:vAlign w:val="center"/>
            <w:tcBorders>
              <w:top w:sz="4" w:val="single" w:color="D9D0C6"/>
              <w:left w:sz="4" w:val="single" w:color="D9D0C6"/>
              <w:bottom w:sz="4" w:val="single" w:color="D9D0C6"/>
              <w:right w:sz="4" w:val="single" w:color="D9D0C6"/>
            </w:tcBorders>
            <w:shd w:fill="A96F5F"/>
          </w:tcPr>
          <w:p>
            <w:pPr>
              <w:spacing w:after="40" w:before="0"/>
            </w:pPr>
            <w:r>
              <w:rPr>
                <w:rFonts w:ascii="Noto Sans CJK SC" w:hAnsi="Noto Sans CJK SC" w:eastAsia="Noto Sans CJK SC"/>
                <w:b/>
                <w:color w:val="FFFFFF"/>
                <w:sz w:val="16"/>
              </w:rPr>
              <w:t>Sunny 话术方向</w:t>
            </w:r>
          </w:p>
        </w:tc>
        <w:tc>
          <w:tcPr>
            <w:tcW w:type="dxa" w:w="3552"/>
            <w:vAlign w:val="center"/>
            <w:tcBorders>
              <w:top w:sz="4" w:val="single" w:color="D9D0C6"/>
              <w:left w:sz="4" w:val="single" w:color="D9D0C6"/>
              <w:bottom w:sz="4" w:val="single" w:color="D9D0C6"/>
              <w:right w:sz="4" w:val="single" w:color="D9D0C6"/>
            </w:tcBorders>
            <w:shd w:fill="A96F5F"/>
          </w:tcPr>
          <w:p>
            <w:pPr>
              <w:spacing w:after="40" w:before="0"/>
            </w:pPr>
            <w:r>
              <w:rPr>
                <w:rFonts w:ascii="Noto Sans CJK SC" w:hAnsi="Noto Sans CJK SC" w:eastAsia="Noto Sans CJK SC"/>
                <w:b/>
                <w:color w:val="FFFFFF"/>
                <w:sz w:val="16"/>
              </w:rPr>
              <w:t>禁止说法</w:t>
            </w:r>
          </w:p>
        </w:tc>
      </w:tr>
      <w:tr>
        <w:trPr>
          <w:cantSplit/>
        </w:trPr>
        <w:tc>
          <w:tcPr>
            <w:tcW w:type="dxa" w:w="3552"/>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L1 目标偏快</w:t>
            </w:r>
          </w:p>
        </w:tc>
        <w:tc>
          <w:tcPr>
            <w:tcW w:type="dxa" w:w="3552"/>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“我会帮你把节奏调得更稳一点，先让身体适应。”</w:t>
            </w:r>
          </w:p>
        </w:tc>
        <w:tc>
          <w:tcPr>
            <w:tcW w:type="dxa" w:w="3552"/>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“你必须减到这个数字。”</w:t>
            </w:r>
          </w:p>
        </w:tc>
      </w:tr>
      <w:tr>
        <w:trPr>
          <w:cantSplit/>
        </w:trPr>
        <w:tc>
          <w:tcPr>
            <w:tcW w:type="dxa" w:w="3552"/>
            <w:vAlign w:val="center"/>
            <w:tcBorders>
              <w:top w:sz="4" w:val="single" w:color="D9D0C6"/>
              <w:left w:sz="4" w:val="single" w:color="D9D0C6"/>
              <w:bottom w:sz="4" w:val="single" w:color="D9D0C6"/>
              <w:right w:sz="4" w:val="single" w:color="D9D0C6"/>
            </w:tcBorders>
            <w:shd w:fill="FFF8F4"/>
          </w:tcPr>
          <w:p>
            <w:pPr>
              <w:spacing w:after="40" w:before="0"/>
            </w:pPr>
            <w:r>
              <w:rPr>
                <w:rFonts w:ascii="Noto Sans CJK SC" w:hAnsi="Noto Sans CJK SC" w:eastAsia="Noto Sans CJK SC"/>
                <w:sz w:val="16"/>
              </w:rPr>
              <w:t>L2 需要专业确认</w:t>
            </w:r>
          </w:p>
        </w:tc>
        <w:tc>
          <w:tcPr>
            <w:tcW w:type="dxa" w:w="3552"/>
            <w:vAlign w:val="center"/>
            <w:tcBorders>
              <w:top w:sz="4" w:val="single" w:color="D9D0C6"/>
              <w:left w:sz="4" w:val="single" w:color="D9D0C6"/>
              <w:bottom w:sz="4" w:val="single" w:color="D9D0C6"/>
              <w:right w:sz="4" w:val="single" w:color="D9D0C6"/>
            </w:tcBorders>
            <w:shd w:fill="FFF8F4"/>
          </w:tcPr>
          <w:p>
            <w:pPr>
              <w:spacing w:after="40" w:before="0"/>
            </w:pPr>
            <w:r>
              <w:rPr>
                <w:rFonts w:ascii="Noto Sans CJK SC" w:hAnsi="Noto Sans CJK SC" w:eastAsia="Noto Sans CJK SC"/>
                <w:sz w:val="16"/>
              </w:rPr>
              <w:t>“我可以继续陪你记录状态，但产品使用计划建议先让医生/营养师确认。”</w:t>
            </w:r>
          </w:p>
        </w:tc>
        <w:tc>
          <w:tcPr>
            <w:tcW w:type="dxa" w:w="3552"/>
            <w:vAlign w:val="center"/>
            <w:tcBorders>
              <w:top w:sz="4" w:val="single" w:color="D9D0C6"/>
              <w:left w:sz="4" w:val="single" w:color="D9D0C6"/>
              <w:bottom w:sz="4" w:val="single" w:color="D9D0C6"/>
              <w:right w:sz="4" w:val="single" w:color="D9D0C6"/>
            </w:tcBorders>
            <w:shd w:fill="FFF8F4"/>
          </w:tcPr>
          <w:p>
            <w:pPr>
              <w:spacing w:after="40" w:before="0"/>
            </w:pPr>
            <w:r>
              <w:rPr>
                <w:rFonts w:ascii="Noto Sans CJK SC" w:hAnsi="Noto Sans CJK SC" w:eastAsia="Noto Sans CJK SC"/>
                <w:sz w:val="16"/>
              </w:rPr>
              <w:t>“这个产品适合你的疾病。”</w:t>
            </w:r>
          </w:p>
        </w:tc>
      </w:tr>
      <w:tr>
        <w:trPr>
          <w:cantSplit/>
        </w:trPr>
        <w:tc>
          <w:tcPr>
            <w:tcW w:type="dxa" w:w="3552"/>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L3 不适合 Slim Journey</w:t>
            </w:r>
          </w:p>
        </w:tc>
        <w:tc>
          <w:tcPr>
            <w:tcW w:type="dxa" w:w="3552"/>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“这不是你做得不好，而是这个计划现在不适合你。”</w:t>
            </w:r>
          </w:p>
        </w:tc>
        <w:tc>
          <w:tcPr>
            <w:tcW w:type="dxa" w:w="3552"/>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“你不能使用我们的产品。”</w:t>
            </w:r>
          </w:p>
        </w:tc>
      </w:tr>
      <w:tr>
        <w:trPr>
          <w:cantSplit/>
        </w:trPr>
        <w:tc>
          <w:tcPr>
            <w:tcW w:type="dxa" w:w="3552"/>
            <w:vAlign w:val="center"/>
            <w:tcBorders>
              <w:top w:sz="4" w:val="single" w:color="D9D0C6"/>
              <w:left w:sz="4" w:val="single" w:color="D9D0C6"/>
              <w:bottom w:sz="4" w:val="single" w:color="D9D0C6"/>
              <w:right w:sz="4" w:val="single" w:color="D9D0C6"/>
            </w:tcBorders>
            <w:shd w:fill="FFF8F4"/>
          </w:tcPr>
          <w:p>
            <w:pPr>
              <w:spacing w:after="40" w:before="0"/>
            </w:pPr>
            <w:r>
              <w:rPr>
                <w:rFonts w:ascii="Noto Sans CJK SC" w:hAnsi="Noto Sans CJK SC" w:eastAsia="Noto Sans CJK SC"/>
                <w:sz w:val="16"/>
              </w:rPr>
              <w:t>过敏命中</w:t>
            </w:r>
          </w:p>
        </w:tc>
        <w:tc>
          <w:tcPr>
            <w:tcW w:type="dxa" w:w="3552"/>
            <w:vAlign w:val="center"/>
            <w:tcBorders>
              <w:top w:sz="4" w:val="single" w:color="D9D0C6"/>
              <w:left w:sz="4" w:val="single" w:color="D9D0C6"/>
              <w:bottom w:sz="4" w:val="single" w:color="D9D0C6"/>
              <w:right w:sz="4" w:val="single" w:color="D9D0C6"/>
            </w:tcBorders>
            <w:shd w:fill="FFF8F4"/>
          </w:tcPr>
          <w:p>
            <w:pPr>
              <w:spacing w:after="40" w:before="0"/>
            </w:pPr>
            <w:r>
              <w:rPr>
                <w:rFonts w:ascii="Noto Sans CJK SC" w:hAnsi="Noto Sans CJK SC" w:eastAsia="Noto Sans CJK SC"/>
                <w:sz w:val="16"/>
              </w:rPr>
              <w:t>“这款产品可能含有你需要避开的成分，我们先不要推荐它。”</w:t>
            </w:r>
          </w:p>
        </w:tc>
        <w:tc>
          <w:tcPr>
            <w:tcW w:type="dxa" w:w="3552"/>
            <w:vAlign w:val="center"/>
            <w:tcBorders>
              <w:top w:sz="4" w:val="single" w:color="D9D0C6"/>
              <w:left w:sz="4" w:val="single" w:color="D9D0C6"/>
              <w:bottom w:sz="4" w:val="single" w:color="D9D0C6"/>
              <w:right w:sz="4" w:val="single" w:color="D9D0C6"/>
            </w:tcBorders>
            <w:shd w:fill="FFF8F4"/>
          </w:tcPr>
          <w:p>
            <w:pPr>
              <w:spacing w:after="40" w:before="0"/>
            </w:pPr>
            <w:r>
              <w:rPr>
                <w:rFonts w:ascii="Noto Sans CJK SC" w:hAnsi="Noto Sans CJK SC" w:eastAsia="Noto Sans CJK SC"/>
                <w:sz w:val="16"/>
              </w:rPr>
              <w:t>“少量应该没事。”</w:t>
            </w:r>
          </w:p>
        </w:tc>
      </w:tr>
      <w:tr>
        <w:trPr>
          <w:cantSplit/>
        </w:trPr>
        <w:tc>
          <w:tcPr>
            <w:tcW w:type="dxa" w:w="3552"/>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极端节食/进食障碍风险</w:t>
            </w:r>
          </w:p>
        </w:tc>
        <w:tc>
          <w:tcPr>
            <w:tcW w:type="dxa" w:w="3552"/>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“你不需要用惩罚自己的方式变好。我们先把安全放在第一位。”</w:t>
            </w:r>
          </w:p>
        </w:tc>
        <w:tc>
          <w:tcPr>
            <w:tcW w:type="dxa" w:w="3552"/>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“坚持住再少吃一点。”</w:t>
            </w:r>
          </w:p>
        </w:tc>
      </w:tr>
      <w:tr>
        <w:trPr>
          <w:cantSplit/>
        </w:trPr>
        <w:tc>
          <w:tcPr>
            <w:tcW w:type="dxa" w:w="3552"/>
            <w:vAlign w:val="center"/>
            <w:tcBorders>
              <w:top w:sz="4" w:val="single" w:color="D9D0C6"/>
              <w:left w:sz="4" w:val="single" w:color="D9D0C6"/>
              <w:bottom w:sz="4" w:val="single" w:color="D9D0C6"/>
              <w:right w:sz="4" w:val="single" w:color="D9D0C6"/>
            </w:tcBorders>
            <w:shd w:fill="FFF8F4"/>
          </w:tcPr>
          <w:p>
            <w:pPr>
              <w:spacing w:after="40" w:before="0"/>
            </w:pPr>
            <w:r>
              <w:rPr>
                <w:rFonts w:ascii="Noto Sans CJK SC" w:hAnsi="Noto Sans CJK SC" w:eastAsia="Noto Sans CJK SC"/>
                <w:sz w:val="16"/>
              </w:rPr>
              <w:t>情绪危机</w:t>
            </w:r>
          </w:p>
        </w:tc>
        <w:tc>
          <w:tcPr>
            <w:tcW w:type="dxa" w:w="3552"/>
            <w:vAlign w:val="center"/>
            <w:tcBorders>
              <w:top w:sz="4" w:val="single" w:color="D9D0C6"/>
              <w:left w:sz="4" w:val="single" w:color="D9D0C6"/>
              <w:bottom w:sz="4" w:val="single" w:color="D9D0C6"/>
              <w:right w:sz="4" w:val="single" w:color="D9D0C6"/>
            </w:tcBorders>
            <w:shd w:fill="FFF8F4"/>
          </w:tcPr>
          <w:p>
            <w:pPr>
              <w:spacing w:after="40" w:before="0"/>
            </w:pPr>
            <w:r>
              <w:rPr>
                <w:rFonts w:ascii="Noto Sans CJK SC" w:hAnsi="Noto Sans CJK SC" w:eastAsia="Noto Sans CJK SC"/>
                <w:sz w:val="16"/>
              </w:rPr>
              <w:t>“你现在的安全最重要，请立即联系当地紧急服务或身边可信任的人。”</w:t>
            </w:r>
          </w:p>
        </w:tc>
        <w:tc>
          <w:tcPr>
            <w:tcW w:type="dxa" w:w="3552"/>
            <w:vAlign w:val="center"/>
            <w:tcBorders>
              <w:top w:sz="4" w:val="single" w:color="D9D0C6"/>
              <w:left w:sz="4" w:val="single" w:color="D9D0C6"/>
              <w:bottom w:sz="4" w:val="single" w:color="D9D0C6"/>
              <w:right w:sz="4" w:val="single" w:color="D9D0C6"/>
            </w:tcBorders>
            <w:shd w:fill="FFF8F4"/>
          </w:tcPr>
          <w:p>
            <w:pPr>
              <w:spacing w:after="40" w:before="0"/>
            </w:pPr>
            <w:r>
              <w:rPr>
                <w:rFonts w:ascii="Noto Sans CJK SC" w:hAnsi="Noto Sans CJK SC" w:eastAsia="Noto Sans CJK SC"/>
                <w:sz w:val="16"/>
              </w:rPr>
              <w:t>继续讨论减重、热量、产品购买。</w:t>
            </w:r>
          </w:p>
        </w:tc>
      </w:tr>
    </w:tbl>
    <w:p>
      <w:pPr>
        <w:pStyle w:val="Heading1"/>
      </w:pPr>
      <w:r>
        <w:t>8. 接口字段与伪代码</w:t>
      </w:r>
    </w:p>
    <w:tbl>
      <w:tblPr>
        <w:tblW w:type="auto" w:w="0"/>
        <w:tblLook w:firstColumn="1" w:firstRow="1" w:lastColumn="0" w:lastRow="0" w:noHBand="0" w:noVBand="1" w:val="04A0"/>
      </w:tblPr>
      <w:tblGrid>
        <w:gridCol w:w="10656"/>
      </w:tblGrid>
      <w:tr>
        <w:tc>
          <w:tcPr>
            <w:tcW w:type="dxa" w:w="10656"/>
            <w:shd w:fill="F4F1EA"/>
            <w:tcBorders>
              <w:top w:sz="4" w:val="single" w:color="DBC8B8"/>
              <w:left w:sz="4" w:val="single" w:color="DBC8B8"/>
              <w:bottom w:sz="4" w:val="single" w:color="DBC8B8"/>
              <w:right w:sz="4" w:val="single" w:color="DBC8B8"/>
            </w:tcBorders>
          </w:tcPr>
          <w:p>
            <w:r>
              <w:rPr>
                <w:rFonts w:ascii="DejaVu Sans Mono" w:hAnsi="DejaVu Sans Mono"/>
                <w:color w:val="2A2725"/>
                <w:sz w:val="15"/>
              </w:rPr>
              <w:t>POST /api/v1/app/onboarding/risk-screening</w:t>
            </w:r>
            <w:r>
              <w:br/>
            </w:r>
            <w:r>
              <w:rPr>
                <w:rFonts w:ascii="DejaVu Sans Mono" w:hAnsi="DejaVu Sans Mono"/>
                <w:color w:val="2A2725"/>
                <w:sz w:val="15"/>
              </w:rPr>
              <w:t>{</w:t>
            </w:r>
            <w:r>
              <w:br/>
            </w:r>
            <w:r>
              <w:rPr>
                <w:rFonts w:ascii="DejaVu Sans Mono" w:hAnsi="DejaVu Sans Mono"/>
                <w:color w:val="2A2725"/>
                <w:sz w:val="15"/>
              </w:rPr>
              <w:t xml:space="preserve">  "country": "US",</w:t>
            </w:r>
            <w:r>
              <w:br/>
            </w:r>
            <w:r>
              <w:rPr>
                <w:rFonts w:ascii="DejaVu Sans Mono" w:hAnsi="DejaVu Sans Mono"/>
                <w:color w:val="2A2725"/>
                <w:sz w:val="15"/>
              </w:rPr>
              <w:t xml:space="preserve">  "language": "en",</w:t>
            </w:r>
            <w:r>
              <w:br/>
            </w:r>
            <w:r>
              <w:rPr>
                <w:rFonts w:ascii="DejaVu Sans Mono" w:hAnsi="DejaVu Sans Mono"/>
                <w:color w:val="2A2725"/>
                <w:sz w:val="15"/>
              </w:rPr>
              <w:t xml:space="preserve">  "unitSystem": "imperial",</w:t>
            </w:r>
            <w:r>
              <w:br/>
            </w:r>
            <w:r>
              <w:rPr>
                <w:rFonts w:ascii="DejaVu Sans Mono" w:hAnsi="DejaVu Sans Mono"/>
                <w:color w:val="2A2725"/>
                <w:sz w:val="15"/>
              </w:rPr>
              <w:t xml:space="preserve">  "age": 42,</w:t>
            </w:r>
            <w:r>
              <w:br/>
            </w:r>
            <w:r>
              <w:rPr>
                <w:rFonts w:ascii="DejaVu Sans Mono" w:hAnsi="DejaVu Sans Mono"/>
                <w:color w:val="2A2725"/>
                <w:sz w:val="15"/>
              </w:rPr>
              <w:t xml:space="preserve">  "heightCm": 165,</w:t>
            </w:r>
            <w:r>
              <w:br/>
            </w:r>
            <w:r>
              <w:rPr>
                <w:rFonts w:ascii="DejaVu Sans Mono" w:hAnsi="DejaVu Sans Mono"/>
                <w:color w:val="2A2725"/>
                <w:sz w:val="15"/>
              </w:rPr>
              <w:t xml:space="preserve">  "currentWeightKg": 78,</w:t>
            </w:r>
            <w:r>
              <w:br/>
            </w:r>
            <w:r>
              <w:rPr>
                <w:rFonts w:ascii="DejaVu Sans Mono" w:hAnsi="DejaVu Sans Mono"/>
                <w:color w:val="2A2725"/>
                <w:sz w:val="15"/>
              </w:rPr>
              <w:t xml:space="preserve">  "goalWeightKg": 72,</w:t>
            </w:r>
            <w:r>
              <w:br/>
            </w:r>
            <w:r>
              <w:rPr>
                <w:rFonts w:ascii="DejaVu Sans Mono" w:hAnsi="DejaVu Sans Mono"/>
                <w:color w:val="2A2725"/>
                <w:sz w:val="15"/>
              </w:rPr>
              <w:t xml:space="preserve">  "goalTimelineDays": 30,</w:t>
            </w:r>
            <w:r>
              <w:br/>
            </w:r>
            <w:r>
              <w:rPr>
                <w:rFonts w:ascii="DejaVu Sans Mono" w:hAnsi="DejaVu Sans Mono"/>
                <w:color w:val="2A2725"/>
                <w:sz w:val="15"/>
              </w:rPr>
              <w:t xml:space="preserve">  "pregnancyStatus": "no",</w:t>
            </w:r>
            <w:r>
              <w:br/>
            </w:r>
            <w:r>
              <w:rPr>
                <w:rFonts w:ascii="DejaVu Sans Mono" w:hAnsi="DejaVu Sans Mono"/>
                <w:color w:val="2A2725"/>
                <w:sz w:val="15"/>
              </w:rPr>
              <w:t xml:space="preserve">  "medicalConditions": ["hypertension"],</w:t>
            </w:r>
            <w:r>
              <w:br/>
            </w:r>
            <w:r>
              <w:rPr>
                <w:rFonts w:ascii="DejaVu Sans Mono" w:hAnsi="DejaVu Sans Mono"/>
                <w:color w:val="2A2725"/>
                <w:sz w:val="15"/>
              </w:rPr>
              <w:t xml:space="preserve">  "medications": [],</w:t>
            </w:r>
            <w:r>
              <w:br/>
            </w:r>
            <w:r>
              <w:rPr>
                <w:rFonts w:ascii="DejaVu Sans Mono" w:hAnsi="DejaVu Sans Mono"/>
                <w:color w:val="2A2725"/>
                <w:sz w:val="15"/>
              </w:rPr>
              <w:t xml:space="preserve">  "allergens": ["soy"],</w:t>
            </w:r>
            <w:r>
              <w:br/>
            </w:r>
            <w:r>
              <w:rPr>
                <w:rFonts w:ascii="DejaVu Sans Mono" w:hAnsi="DejaVu Sans Mono"/>
                <w:color w:val="2A2725"/>
                <w:sz w:val="15"/>
              </w:rPr>
              <w:t xml:space="preserve">  "disorderedEatingFlags": [],</w:t>
            </w:r>
            <w:r>
              <w:br/>
            </w:r>
            <w:r>
              <w:rPr>
                <w:rFonts w:ascii="DejaVu Sans Mono" w:hAnsi="DejaVu Sans Mono"/>
                <w:color w:val="2A2725"/>
                <w:sz w:val="15"/>
              </w:rPr>
              <w:t xml:space="preserve">  "mentalSafetyFlags": [],</w:t>
            </w:r>
            <w:r>
              <w:br/>
            </w:r>
            <w:r>
              <w:rPr>
                <w:rFonts w:ascii="DejaVu Sans Mono" w:hAnsi="DejaVu Sans Mono"/>
                <w:color w:val="2A2725"/>
                <w:sz w:val="15"/>
              </w:rPr>
              <w:t xml:space="preserve">  "productUsePlan": {"sku": "solar_protein_chocolate", "replaceMeal": "breakfast"},</w:t>
            </w:r>
            <w:r>
              <w:br/>
            </w:r>
            <w:r>
              <w:rPr>
                <w:rFonts w:ascii="DejaVu Sans Mono" w:hAnsi="DejaVu Sans Mono"/>
                <w:color w:val="2A2725"/>
                <w:sz w:val="15"/>
              </w:rPr>
              <w:t xml:space="preserve">  "consentHealthNotice": true</w:t>
            </w:r>
            <w:r>
              <w:br/>
            </w:r>
            <w:r>
              <w:rPr>
                <w:rFonts w:ascii="DejaVu Sans Mono" w:hAnsi="DejaVu Sans Mono"/>
                <w:color w:val="2A2725"/>
                <w:sz w:val="15"/>
              </w:rPr>
              <w:t>}</w:t>
            </w:r>
            <w:r>
              <w:br/>
            </w:r>
            <w:r>
              <w:rPr>
                <w:rFonts w:ascii="DejaVu Sans Mono" w:hAnsi="DejaVu Sans Mono"/>
                <w:color w:val="2A2725"/>
                <w:sz w:val="15"/>
              </w:rPr>
            </w:r>
            <w:r>
              <w:br/>
            </w:r>
            <w:r>
              <w:rPr>
                <w:rFonts w:ascii="DejaVu Sans Mono" w:hAnsi="DejaVu Sans Mono"/>
                <w:color w:val="2A2725"/>
                <w:sz w:val="15"/>
              </w:rPr>
              <w:t>Response</w:t>
            </w:r>
            <w:r>
              <w:br/>
            </w:r>
            <w:r>
              <w:rPr>
                <w:rFonts w:ascii="DejaVu Sans Mono" w:hAnsi="DejaVu Sans Mono"/>
                <w:color w:val="2A2725"/>
                <w:sz w:val="15"/>
              </w:rPr>
              <w:t>{</w:t>
            </w:r>
            <w:r>
              <w:br/>
            </w:r>
            <w:r>
              <w:rPr>
                <w:rFonts w:ascii="DejaVu Sans Mono" w:hAnsi="DejaVu Sans Mono"/>
                <w:color w:val="2A2725"/>
                <w:sz w:val="15"/>
              </w:rPr>
              <w:t xml:space="preserve">  "riskLevel": "L1",</w:t>
            </w:r>
            <w:r>
              <w:br/>
            </w:r>
            <w:r>
              <w:rPr>
                <w:rFonts w:ascii="DejaVu Sans Mono" w:hAnsi="DejaVu Sans Mono"/>
                <w:color w:val="2A2725"/>
                <w:sz w:val="15"/>
              </w:rPr>
              <w:t xml:space="preserve">  "riskFlags": ["mild_medical_condition", "soy_allergy_check_required"],</w:t>
            </w:r>
            <w:r>
              <w:br/>
            </w:r>
            <w:r>
              <w:rPr>
                <w:rFonts w:ascii="DejaVu Sans Mono" w:hAnsi="DejaVu Sans Mono"/>
                <w:color w:val="2A2725"/>
                <w:sz w:val="15"/>
              </w:rPr>
              <w:t xml:space="preserve">  "allowedMode": "gentle_habit",</w:t>
            </w:r>
            <w:r>
              <w:br/>
            </w:r>
            <w:r>
              <w:rPr>
                <w:rFonts w:ascii="DejaVu Sans Mono" w:hAnsi="DejaVu Sans Mono"/>
                <w:color w:val="2A2725"/>
                <w:sz w:val="15"/>
              </w:rPr>
              <w:t xml:space="preserve">  "blockedActions": ["recommend_sku_solar_protein_chocolate_until_ingredient_confirmed"],</w:t>
            </w:r>
            <w:r>
              <w:br/>
            </w:r>
            <w:r>
              <w:rPr>
                <w:rFonts w:ascii="DejaVu Sans Mono" w:hAnsi="DejaVu Sans Mono"/>
                <w:color w:val="2A2725"/>
                <w:sz w:val="15"/>
              </w:rPr>
              <w:t xml:space="preserve">  "disclaimerVariant": "us_medical_review_soft",</w:t>
            </w:r>
            <w:r>
              <w:br/>
            </w:r>
            <w:r>
              <w:rPr>
                <w:rFonts w:ascii="DejaVu Sans Mono" w:hAnsi="DejaVu Sans Mono"/>
                <w:color w:val="2A2725"/>
                <w:sz w:val="15"/>
              </w:rPr>
              <w:t xml:space="preserve">  "professionalReviewRequired": false</w:t>
            </w:r>
            <w:r>
              <w:br/>
            </w:r>
            <w:r>
              <w:rPr>
                <w:rFonts w:ascii="DejaVu Sans Mono" w:hAnsi="DejaVu Sans Mono"/>
                <w:color w:val="2A2725"/>
                <w:sz w:val="15"/>
              </w:rPr>
              <w:t>}</w:t>
            </w:r>
            <w:r>
              <w:br/>
            </w:r>
            <w:r>
              <w:rPr>
                <w:rFonts w:ascii="DejaVu Sans Mono" w:hAnsi="DejaVu Sans Mono"/>
                <w:color w:val="2A2725"/>
                <w:sz w:val="15"/>
              </w:rPr>
            </w:r>
            <w:r>
              <w:br/>
            </w:r>
            <w:r>
              <w:rPr>
                <w:rFonts w:ascii="DejaVu Sans Mono" w:hAnsi="DejaVu Sans Mono"/>
                <w:color w:val="2A2725"/>
                <w:sz w:val="15"/>
              </w:rPr>
              <w:t>Rule priority:</w:t>
            </w:r>
            <w:r>
              <w:br/>
            </w:r>
            <w:r>
              <w:rPr>
                <w:rFonts w:ascii="DejaVu Sans Mono" w:hAnsi="DejaVu Sans Mono"/>
                <w:color w:val="2A2725"/>
                <w:sz w:val="15"/>
              </w:rPr>
              <w:t>1. If crisis flag -&gt; L4 immediately.</w:t>
            </w:r>
            <w:r>
              <w:br/>
            </w:r>
            <w:r>
              <w:rPr>
                <w:rFonts w:ascii="DejaVu Sans Mono" w:hAnsi="DejaVu Sans Mono"/>
                <w:color w:val="2A2725"/>
                <w:sz w:val="15"/>
              </w:rPr>
              <w:t>2. If age &lt; 18 / pregnancy / BMI &lt; 18.5 / eating disorder high risk -&gt; L3.</w:t>
            </w:r>
            <w:r>
              <w:br/>
            </w:r>
            <w:r>
              <w:rPr>
                <w:rFonts w:ascii="DejaVu Sans Mono" w:hAnsi="DejaVu Sans Mono"/>
                <w:color w:val="2A2725"/>
                <w:sz w:val="15"/>
              </w:rPr>
              <w:t>3. If major condition or medication interaction -&gt; L2.</w:t>
            </w:r>
            <w:r>
              <w:br/>
            </w:r>
            <w:r>
              <w:rPr>
                <w:rFonts w:ascii="DejaVu Sans Mono" w:hAnsi="DejaVu Sans Mono"/>
                <w:color w:val="2A2725"/>
                <w:sz w:val="15"/>
              </w:rPr>
              <w:t>4. If aggressive target or mild caution -&gt; L1.</w:t>
            </w:r>
            <w:r>
              <w:br/>
            </w:r>
            <w:r>
              <w:rPr>
                <w:rFonts w:ascii="DejaVu Sans Mono" w:hAnsi="DejaVu Sans Mono"/>
                <w:color w:val="2A2725"/>
                <w:sz w:val="15"/>
              </w:rPr>
              <w:t>5. Else -&gt; L0.</w:t>
            </w:r>
            <w:r>
              <w:br/>
            </w:r>
            <w:r>
              <w:rPr>
                <w:rFonts w:ascii="DejaVu Sans Mono" w:hAnsi="DejaVu Sans Mono"/>
                <w:color w:val="2A2725"/>
                <w:sz w:val="15"/>
              </w:rPr>
            </w:r>
            <w:r>
              <w:br/>
            </w:r>
          </w:p>
        </w:tc>
      </w:tr>
    </w:tbl>
    <w:p>
      <w:pPr>
        <w:pStyle w:val="Heading1"/>
      </w:pPr>
      <w:r>
        <w:t>9. 后台配置建议</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cantSplit/>
        </w:trPr>
        <w:tc>
          <w:tcPr>
            <w:tcW w:type="dxa" w:w="3552"/>
            <w:vAlign w:val="center"/>
            <w:tcBorders>
              <w:top w:sz="4" w:val="single" w:color="D9D0C6"/>
              <w:left w:sz="4" w:val="single" w:color="D9D0C6"/>
              <w:bottom w:sz="4" w:val="single" w:color="D9D0C6"/>
              <w:right w:sz="4" w:val="single" w:color="D9D0C6"/>
            </w:tcBorders>
            <w:shd w:fill="556743"/>
          </w:tcPr>
          <w:p>
            <w:pPr>
              <w:spacing w:after="40" w:before="0"/>
            </w:pPr>
            <w:r>
              <w:rPr>
                <w:rFonts w:ascii="Noto Sans CJK SC" w:hAnsi="Noto Sans CJK SC" w:eastAsia="Noto Sans CJK SC"/>
                <w:b/>
                <w:color w:val="FFFFFF"/>
                <w:sz w:val="16"/>
              </w:rPr>
              <w:t>配置表</w:t>
            </w:r>
          </w:p>
        </w:tc>
        <w:tc>
          <w:tcPr>
            <w:tcW w:type="dxa" w:w="3552"/>
            <w:vAlign w:val="center"/>
            <w:tcBorders>
              <w:top w:sz="4" w:val="single" w:color="D9D0C6"/>
              <w:left w:sz="4" w:val="single" w:color="D9D0C6"/>
              <w:bottom w:sz="4" w:val="single" w:color="D9D0C6"/>
              <w:right w:sz="4" w:val="single" w:color="D9D0C6"/>
            </w:tcBorders>
            <w:shd w:fill="556743"/>
          </w:tcPr>
          <w:p>
            <w:pPr>
              <w:spacing w:after="40" w:before="0"/>
            </w:pPr>
            <w:r>
              <w:rPr>
                <w:rFonts w:ascii="Noto Sans CJK SC" w:hAnsi="Noto Sans CJK SC" w:eastAsia="Noto Sans CJK SC"/>
                <w:b/>
                <w:color w:val="FFFFFF"/>
                <w:sz w:val="16"/>
              </w:rPr>
              <w:t>关键字段</w:t>
            </w:r>
          </w:p>
        </w:tc>
        <w:tc>
          <w:tcPr>
            <w:tcW w:type="dxa" w:w="3552"/>
            <w:vAlign w:val="center"/>
            <w:tcBorders>
              <w:top w:sz="4" w:val="single" w:color="D9D0C6"/>
              <w:left w:sz="4" w:val="single" w:color="D9D0C6"/>
              <w:bottom w:sz="4" w:val="single" w:color="D9D0C6"/>
              <w:right w:sz="4" w:val="single" w:color="D9D0C6"/>
            </w:tcBorders>
            <w:shd w:fill="556743"/>
          </w:tcPr>
          <w:p>
            <w:pPr>
              <w:spacing w:after="40" w:before="0"/>
            </w:pPr>
            <w:r>
              <w:rPr>
                <w:rFonts w:ascii="Noto Sans CJK SC" w:hAnsi="Noto Sans CJK SC" w:eastAsia="Noto Sans CJK SC"/>
                <w:b/>
                <w:color w:val="FFFFFF"/>
                <w:sz w:val="16"/>
              </w:rPr>
              <w:t>说明</w:t>
            </w:r>
          </w:p>
        </w:tc>
      </w:tr>
      <w:tr>
        <w:trPr>
          <w:cantSplit/>
        </w:trPr>
        <w:tc>
          <w:tcPr>
            <w:tcW w:type="dxa" w:w="3552"/>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risk_questions</w:t>
            </w:r>
          </w:p>
        </w:tc>
        <w:tc>
          <w:tcPr>
            <w:tcW w:type="dxa" w:w="3552"/>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question_key, locale, title, options, required, order</w:t>
            </w:r>
          </w:p>
        </w:tc>
        <w:tc>
          <w:tcPr>
            <w:tcW w:type="dxa" w:w="3552"/>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控制 Onboarding 问题文案和排序。</w:t>
            </w:r>
          </w:p>
        </w:tc>
      </w:tr>
      <w:tr>
        <w:trPr>
          <w:cantSplit/>
        </w:trPr>
        <w:tc>
          <w:tcPr>
            <w:tcW w:type="dxa" w:w="3552"/>
            <w:vAlign w:val="center"/>
            <w:tcBorders>
              <w:top w:sz="4" w:val="single" w:color="D9D0C6"/>
              <w:left w:sz="4" w:val="single" w:color="D9D0C6"/>
              <w:bottom w:sz="4" w:val="single" w:color="D9D0C6"/>
              <w:right w:sz="4" w:val="single" w:color="D9D0C6"/>
            </w:tcBorders>
            <w:shd w:fill="F5F8F3"/>
          </w:tcPr>
          <w:p>
            <w:pPr>
              <w:spacing w:after="40" w:before="0"/>
            </w:pPr>
            <w:r>
              <w:rPr>
                <w:rFonts w:ascii="Noto Sans CJK SC" w:hAnsi="Noto Sans CJK SC" w:eastAsia="Noto Sans CJK SC"/>
                <w:sz w:val="16"/>
              </w:rPr>
              <w:t>risk_rules</w:t>
            </w:r>
          </w:p>
        </w:tc>
        <w:tc>
          <w:tcPr>
            <w:tcW w:type="dxa" w:w="3552"/>
            <w:vAlign w:val="center"/>
            <w:tcBorders>
              <w:top w:sz="4" w:val="single" w:color="D9D0C6"/>
              <w:left w:sz="4" w:val="single" w:color="D9D0C6"/>
              <w:bottom w:sz="4" w:val="single" w:color="D9D0C6"/>
              <w:right w:sz="4" w:val="single" w:color="D9D0C6"/>
            </w:tcBorders>
            <w:shd w:fill="F5F8F3"/>
          </w:tcPr>
          <w:p>
            <w:pPr>
              <w:spacing w:after="40" w:before="0"/>
            </w:pPr>
            <w:r>
              <w:rPr>
                <w:rFonts w:ascii="Noto Sans CJK SC" w:hAnsi="Noto Sans CJK SC" w:eastAsia="Noto Sans CJK SC"/>
                <w:sz w:val="16"/>
              </w:rPr>
              <w:t>rule_key, condition_json, risk_level, priority, action_json</w:t>
            </w:r>
          </w:p>
        </w:tc>
        <w:tc>
          <w:tcPr>
            <w:tcW w:type="dxa" w:w="3552"/>
            <w:vAlign w:val="center"/>
            <w:tcBorders>
              <w:top w:sz="4" w:val="single" w:color="D9D0C6"/>
              <w:left w:sz="4" w:val="single" w:color="D9D0C6"/>
              <w:bottom w:sz="4" w:val="single" w:color="D9D0C6"/>
              <w:right w:sz="4" w:val="single" w:color="D9D0C6"/>
            </w:tcBorders>
            <w:shd w:fill="F5F8F3"/>
          </w:tcPr>
          <w:p>
            <w:pPr>
              <w:spacing w:after="40" w:before="0"/>
            </w:pPr>
            <w:r>
              <w:rPr>
                <w:rFonts w:ascii="Noto Sans CJK SC" w:hAnsi="Noto Sans CJK SC" w:eastAsia="Noto Sans CJK SC"/>
                <w:sz w:val="16"/>
              </w:rPr>
              <w:t>控制规则命中、等级和阻断动作。</w:t>
            </w:r>
          </w:p>
        </w:tc>
      </w:tr>
      <w:tr>
        <w:trPr>
          <w:cantSplit/>
        </w:trPr>
        <w:tc>
          <w:tcPr>
            <w:tcW w:type="dxa" w:w="3552"/>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risk_copy_templates</w:t>
            </w:r>
          </w:p>
        </w:tc>
        <w:tc>
          <w:tcPr>
            <w:tcW w:type="dxa" w:w="3552"/>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scenario, locale, tone, content</w:t>
            </w:r>
          </w:p>
        </w:tc>
        <w:tc>
          <w:tcPr>
            <w:tcW w:type="dxa" w:w="3552"/>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控制前端提示和 Sunny 话术。</w:t>
            </w:r>
          </w:p>
        </w:tc>
      </w:tr>
      <w:tr>
        <w:trPr>
          <w:cantSplit/>
        </w:trPr>
        <w:tc>
          <w:tcPr>
            <w:tcW w:type="dxa" w:w="3552"/>
            <w:vAlign w:val="center"/>
            <w:tcBorders>
              <w:top w:sz="4" w:val="single" w:color="D9D0C6"/>
              <w:left w:sz="4" w:val="single" w:color="D9D0C6"/>
              <w:bottom w:sz="4" w:val="single" w:color="D9D0C6"/>
              <w:right w:sz="4" w:val="single" w:color="D9D0C6"/>
            </w:tcBorders>
            <w:shd w:fill="F5F8F3"/>
          </w:tcPr>
          <w:p>
            <w:pPr>
              <w:spacing w:after="40" w:before="0"/>
            </w:pPr>
            <w:r>
              <w:rPr>
                <w:rFonts w:ascii="Noto Sans CJK SC" w:hAnsi="Noto Sans CJK SC" w:eastAsia="Noto Sans CJK SC"/>
                <w:sz w:val="16"/>
              </w:rPr>
              <w:t>sku_ingredient_rules</w:t>
            </w:r>
          </w:p>
        </w:tc>
        <w:tc>
          <w:tcPr>
            <w:tcW w:type="dxa" w:w="3552"/>
            <w:vAlign w:val="center"/>
            <w:tcBorders>
              <w:top w:sz="4" w:val="single" w:color="D9D0C6"/>
              <w:left w:sz="4" w:val="single" w:color="D9D0C6"/>
              <w:bottom w:sz="4" w:val="single" w:color="D9D0C6"/>
              <w:right w:sz="4" w:val="single" w:color="D9D0C6"/>
            </w:tcBorders>
            <w:shd w:fill="F5F8F3"/>
          </w:tcPr>
          <w:p>
            <w:pPr>
              <w:spacing w:after="40" w:before="0"/>
            </w:pPr>
            <w:r>
              <w:rPr>
                <w:rFonts w:ascii="Noto Sans CJK SC" w:hAnsi="Noto Sans CJK SC" w:eastAsia="Noto Sans CJK SC"/>
                <w:sz w:val="16"/>
              </w:rPr>
              <w:t>sku_id, ingredient_tags, allergen_tags, warning_tags</w:t>
            </w:r>
          </w:p>
        </w:tc>
        <w:tc>
          <w:tcPr>
            <w:tcW w:type="dxa" w:w="3552"/>
            <w:vAlign w:val="center"/>
            <w:tcBorders>
              <w:top w:sz="4" w:val="single" w:color="D9D0C6"/>
              <w:left w:sz="4" w:val="single" w:color="D9D0C6"/>
              <w:bottom w:sz="4" w:val="single" w:color="D9D0C6"/>
              <w:right w:sz="4" w:val="single" w:color="D9D0C6"/>
            </w:tcBorders>
            <w:shd w:fill="F5F8F3"/>
          </w:tcPr>
          <w:p>
            <w:pPr>
              <w:spacing w:after="40" w:before="0"/>
            </w:pPr>
            <w:r>
              <w:rPr>
                <w:rFonts w:ascii="Noto Sans CJK SC" w:hAnsi="Noto Sans CJK SC" w:eastAsia="Noto Sans CJK SC"/>
                <w:sz w:val="16"/>
              </w:rPr>
              <w:t>用于过敏/禁忌与 SKU 推荐联动。</w:t>
            </w:r>
          </w:p>
        </w:tc>
      </w:tr>
      <w:tr>
        <w:trPr>
          <w:cantSplit/>
        </w:trPr>
        <w:tc>
          <w:tcPr>
            <w:tcW w:type="dxa" w:w="3552"/>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consent_versions</w:t>
            </w:r>
          </w:p>
        </w:tc>
        <w:tc>
          <w:tcPr>
            <w:tcW w:type="dxa" w:w="3552"/>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country, locale, version, content, published_at</w:t>
            </w:r>
          </w:p>
        </w:tc>
        <w:tc>
          <w:tcPr>
            <w:tcW w:type="dxa" w:w="3552"/>
            <w:vAlign w:val="center"/>
            <w:tcBorders>
              <w:top w:sz="4" w:val="single" w:color="D9D0C6"/>
              <w:left w:sz="4" w:val="single" w:color="D9D0C6"/>
              <w:bottom w:sz="4" w:val="single" w:color="D9D0C6"/>
              <w:right w:sz="4" w:val="single" w:color="D9D0C6"/>
            </w:tcBorders>
          </w:tcPr>
          <w:p>
            <w:pPr>
              <w:spacing w:after="40" w:before="0"/>
            </w:pPr>
            <w:r>
              <w:rPr>
                <w:rFonts w:ascii="Noto Sans CJK SC" w:hAnsi="Noto Sans CJK SC" w:eastAsia="Noto Sans CJK SC"/>
                <w:sz w:val="16"/>
              </w:rPr>
              <w:t>记录不同国家授权版本。</w:t>
            </w:r>
          </w:p>
        </w:tc>
      </w:tr>
    </w:tbl>
    <w:p>
      <w:pPr>
        <w:pStyle w:val="Heading1"/>
      </w:pPr>
      <w:r>
        <w:t>参考依据与合规提示</w:t>
      </w:r>
    </w:p>
    <w:p>
      <w:pPr>
        <w:spacing w:after="120"/>
      </w:pPr>
      <w:r>
        <w:t>以下参考来源用于产品规则设计和文档审阅，不等同于法律意见、医疗建议或最终合规结论。正式上线前仍需由美国与墨西哥本地法律/营养合规顾问复核。</w:t>
      </w:r>
    </w:p>
    <w:p>
      <w:pPr>
        <w:pStyle w:val="ListBullet"/>
      </w:pPr>
      <w:r>
        <w:rPr>
          <w:b/>
        </w:rPr>
        <w:t>CDC - Steps for Losing Weight：</w:t>
      </w:r>
      <w:r>
        <w:t xml:space="preserve">健康减重强调饮食、运动、睡眠和压力管理等生活方式因素。 </w:t>
      </w:r>
      <w:hyperlink r:id="rId10">
        <w:r>
          <w:rPr>
            <w:u w:val="single"/>
            <w:color w:val="0563C1"/>
          </w:rPr>
          <w:t>https://www.cdc.gov/healthy-weight-growth/losing-weight/index.html</w:t>
        </w:r>
      </w:hyperlink>
    </w:p>
    <w:p>
      <w:pPr>
        <w:pStyle w:val="ListBullet"/>
      </w:pPr>
      <w:r>
        <w:rPr>
          <w:b/>
        </w:rPr>
        <w:t>CDC - Adult BMI Categories：</w:t>
      </w:r>
      <w:r>
        <w:t xml:space="preserve">BMI 是成人体重相对身高的筛查指标，但不能单独评估个体健康。 </w:t>
      </w:r>
      <w:hyperlink r:id="rId11">
        <w:r>
          <w:rPr>
            <w:u w:val="single"/>
            <w:color w:val="0563C1"/>
          </w:rPr>
          <w:t>https://www.cdc.gov/bmi/adult-calculator/bmi-categories.html</w:t>
        </w:r>
      </w:hyperlink>
    </w:p>
    <w:p>
      <w:pPr>
        <w:pStyle w:val="ListBullet"/>
      </w:pPr>
      <w:r>
        <w:rPr>
          <w:b/>
        </w:rPr>
        <w:t>NIDDK - Prescription Medications to Treat Overweight &amp; Obesity：</w:t>
      </w:r>
      <w:r>
        <w:t xml:space="preserve">使用减重药和其他药物时需考虑健康状况、药物和专业人员建议。 </w:t>
      </w:r>
      <w:hyperlink r:id="rId12">
        <w:r>
          <w:rPr>
            <w:u w:val="single"/>
            <w:color w:val="0563C1"/>
          </w:rPr>
          <w:t>https://www.niddk.nih.gov/health-information/weight-management/prescription-medications-treat-overweight-obesity</w:t>
        </w:r>
      </w:hyperlink>
    </w:p>
    <w:p>
      <w:pPr>
        <w:pStyle w:val="ListBullet"/>
      </w:pPr>
      <w:r>
        <w:rPr>
          <w:b/>
        </w:rPr>
        <w:t>FDA - Label Claims for Food &amp; Dietary Supplements：</w:t>
      </w:r>
      <w:r>
        <w:t xml:space="preserve">食品/膳食补充剂宣称类别包括健康宣称、营养含量宣称和结构/功能宣称。 </w:t>
      </w:r>
      <w:hyperlink r:id="rId13">
        <w:r>
          <w:rPr>
            <w:u w:val="single"/>
            <w:color w:val="0563C1"/>
          </w:rPr>
          <w:t>https://www.fda.gov/food/nutrition-food-labeling-and-critical-foods/label-claims-food-dietary-supplements</w:t>
        </w:r>
      </w:hyperlink>
    </w:p>
    <w:p>
      <w:pPr>
        <w:pStyle w:val="ListBullet"/>
      </w:pPr>
      <w:r>
        <w:rPr>
          <w:b/>
        </w:rPr>
        <w:t>FTC - Health Products Compliance Guidance：</w:t>
      </w:r>
      <w:r>
        <w:t xml:space="preserve">健康产品利益和安全性宣称应真实、不误导并有科学依据支持。 </w:t>
      </w:r>
      <w:hyperlink r:id="rId14">
        <w:r>
          <w:rPr>
            <w:u w:val="single"/>
            <w:color w:val="0563C1"/>
          </w:rPr>
          <w:t>https://www.ftc.gov/business-guidance/resources/health-products-compliance-guidance</w:t>
        </w:r>
      </w:hyperlink>
    </w:p>
    <w:p>
      <w:pPr>
        <w:pStyle w:val="ListBullet"/>
      </w:pPr>
      <w:r>
        <w:rPr>
          <w:b/>
        </w:rPr>
        <w:t>Mexico LFPDPPP：</w:t>
      </w:r>
      <w:r>
        <w:t xml:space="preserve">墨西哥个人数据法将可揭示当前或未来健康状态的数据列为敏感个人数据。 </w:t>
      </w:r>
      <w:hyperlink r:id="rId15">
        <w:r>
          <w:rPr>
            <w:u w:val="single"/>
            <w:color w:val="0563C1"/>
          </w:rPr>
          <w:t>https://www.diputados.gob.mx/LeyesBiblio/pdf/LFPDPPP.pdf</w:t>
        </w:r>
      </w:hyperlink>
    </w:p>
    <w:sectPr w:rsidR="00FC693F" w:rsidRPr="0006063C" w:rsidSect="00034616">
      <w:head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5184"/>
      <w:gridCol w:w="5184"/>
    </w:tblGrid>
    <w:tr>
      <w:tc>
        <w:tcPr>
          <w:tcW w:type="dxa" w:w="5184"/>
          <w:tcBorders>
            <w:bottom w:sz="4" w:val="single" w:color="DBC8B8"/>
          </w:tcBorders>
        </w:tcPr>
        <w:p>
          <w:r>
            <w:rPr>
              <w:rFonts w:ascii="Noto Sans CJK SC" w:hAnsi="Noto Sans CJK SC" w:eastAsia="Noto Sans CJK SC"/>
              <w:color w:val="5C4635"/>
              <w:sz w:val="16"/>
            </w:rPr>
            <w:t>Chatviva Slim</w:t>
          </w:r>
        </w:p>
      </w:tc>
      <w:tc>
        <w:tcPr>
          <w:tcW w:type="dxa" w:w="5184"/>
          <w:tcBorders>
            <w:bottom w:sz="4" w:val="single" w:color="DBC8B8"/>
          </w:tcBorders>
        </w:tcPr>
        <w:p>
          <w:pPr>
            <w:jc w:val="right"/>
          </w:pPr>
          <w:r>
            <w:rPr>
              <w:rFonts w:ascii="Noto Sans CJK SC" w:hAnsi="Noto Sans CJK SC" w:eastAsia="Noto Sans CJK SC"/>
              <w:color w:val="5C4635"/>
              <w:sz w:val="16"/>
            </w:rPr>
            <w:t>Internal Product Rulebook</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color w:val="2A272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5C463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55674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A96F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5C463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Note">
    <w:name w:val="Doc Note"/>
    <w:pPr>
      <w:spacing w:before="80" w:after="120"/>
      <w:ind w:left="216" w:right="216"/>
    </w:pPr>
    <w:rPr>
      <w:rFonts w:ascii="Noto Sans CJK SC" w:hAnsi="Noto Sans CJK SC" w:eastAsia="Noto Sans CJK SC"/>
      <w:color w:val="5E574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www.cdc.gov/healthy-weight-growth/losing-weight/index.html" TargetMode="External"/><Relationship Id="rId11" Type="http://schemas.openxmlformats.org/officeDocument/2006/relationships/hyperlink" Target="https://www.cdc.gov/bmi/adult-calculator/bmi-categories.html" TargetMode="External"/><Relationship Id="rId12" Type="http://schemas.openxmlformats.org/officeDocument/2006/relationships/hyperlink" Target="https://www.niddk.nih.gov/health-information/weight-management/prescription-medications-treat-overweight-obesity" TargetMode="External"/><Relationship Id="rId13" Type="http://schemas.openxmlformats.org/officeDocument/2006/relationships/hyperlink" Target="https://www.fda.gov/food/nutrition-food-labeling-and-critical-foods/label-claims-food-dietary-supplements" TargetMode="External"/><Relationship Id="rId14" Type="http://schemas.openxmlformats.org/officeDocument/2006/relationships/hyperlink" Target="https://www.ftc.gov/business-guidance/resources/health-products-compliance-guidance" TargetMode="External"/><Relationship Id="rId15" Type="http://schemas.openxmlformats.org/officeDocument/2006/relationships/hyperlink" Target="https://www.diputados.gob.mx/LeyesBiblio/pdf/LFPDPP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Chatviva_Slim_风险筛查规则文档_v1.0</dc:title>
  <dc:subject>Chatviva Slim product specification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