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before="840"/>
      </w:pPr>
      <w:r>
        <w:rPr>
          <w:rFonts w:ascii="맑은 고딕" w:eastAsia="맑은 고딕" w:hAnsi="맑은 고딕"/>
          <w:b/>
          <w:color w:val="1F4E79"/>
          <w:sz w:val="50"/>
        </w:rPr>
        <w:t>AI 물류센터 중앙관제 시스템</w:t>
      </w:r>
    </w:p>
    <w:p>
      <w:pPr>
        <w:jc w:val="center"/>
      </w:pPr>
      <w:r>
        <w:rPr>
          <w:rFonts w:ascii="맑은 고딕" w:eastAsia="맑은 고딕" w:hAnsi="맑은 고딕"/>
          <w:color w:val="5A5A5A"/>
          <w:sz w:val="24"/>
        </w:rPr>
        <w:t>컨베이어 벨트·로봇팔 실물 시연과 Unity 기반 물류 운영 시뮬레이션</w:t>
      </w:r>
    </w:p>
    <w:p/>
    <w:tbl>
      <w:tblPr>
        <w:tblStyle w:val="TableGrid"/>
        <w:tblW w:w="0" w:type="auto"/>
        <w:tblLook w:val="04A0" w:firstRow="1" w:lastRow="0" w:firstColumn="1" w:lastColumn="0" w:noHBand="0" w:noVBand="1"/>
      </w:tblPr>
      <w:tblGrid>
        <w:gridCol w:w="4939"/>
        <w:gridCol w:w="4939"/>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shd w:val="clear" w:color="auto" w:fill="1F4E79"/>
          </w:tcPr>
          <w:p>
            <w:pPr>
              <w:spacing w:after="20"/>
            </w:pPr>
            <w:r>
              <w:rPr>
                <w:rFonts w:ascii="맑은 고딕" w:eastAsia="맑은 고딕" w:hAnsi="맑은 고딕"/>
                <w:b/>
                <w:color w:val="FFFFFF"/>
                <w:sz w:val="18"/>
              </w:rPr>
              <w:t>구현 방향</w:t>
            </w:r>
          </w:p>
        </w:tc>
        <w:tc>
          <w:tcPr>
            <w:tcW w:w="4939" w:type="dxa"/>
          </w:tcPr>
          <w:p>
            <w:pPr>
              <w:cnfStyle w:val="100000000000" w:firstRow="1" w:lastRow="0" w:firstColumn="0" w:lastColumn="0" w:oddVBand="0" w:evenVBand="0" w:oddHBand="0" w:evenHBand="0" w:firstRowFirstColumn="0" w:firstRowLastColumn="0" w:lastRowFirstColumn="0" w:lastRowLastColumn="0"/>
              <w:spacing w:after="20"/>
            </w:pPr>
            <w:r>
              <w:rPr>
                <w:rFonts w:ascii="맑은 고딕" w:eastAsia="맑은 고딕" w:hAnsi="맑은 고딕"/>
                <w:b w:val="0"/>
                <w:sz w:val="18"/>
              </w:rPr>
              <w:t>실물 장비는 컨베이어 벨트와 로봇팔 중심, 나머지 물류 설비·상태는 Unity에서 시뮬레이션</w:t>
            </w:r>
          </w:p>
        </w:tc>
      </w:tr>
      <w:tr>
        <w:trPr/>
        <w:tc>
          <w:tcPr>
            <w:cnfStyle w:val="001000000000" w:firstRow="0" w:lastRow="0" w:firstColumn="1" w:lastColumn="0" w:oddVBand="0" w:evenVBand="0" w:oddHBand="0" w:evenHBand="0" w:firstRowFirstColumn="0" w:firstRowLastColumn="0" w:lastRowFirstColumn="0" w:lastRowLastColumn="0"/>
            <w:tcW w:w="4939" w:type="dxa"/>
            <w:shd w:val="clear" w:color="auto" w:fill="1F4E79"/>
          </w:tcPr>
          <w:p>
            <w:pPr>
              <w:spacing w:after="20"/>
            </w:pPr>
            <w:r>
              <w:rPr>
                <w:rFonts w:ascii="맑은 고딕" w:eastAsia="맑은 고딕" w:hAnsi="맑은 고딕"/>
                <w:b/>
                <w:color w:val="FFFFFF"/>
                <w:sz w:val="18"/>
              </w:rPr>
              <w:t>핵심 목표</w:t>
            </w:r>
          </w:p>
        </w:tc>
        <w:tc>
          <w:tcPr>
            <w:tcW w:w="4939" w:type="dxa"/>
          </w:tcPr>
          <w:p>
            <w:pPr>
              <w:spacing w:after="20"/>
            </w:pPr>
            <w:r>
              <w:rPr>
                <w:rFonts w:ascii="맑은 고딕" w:eastAsia="맑은 고딕" w:hAnsi="맑은 고딕"/>
                <w:b w:val="0"/>
                <w:sz w:val="18"/>
              </w:rPr>
              <w:t>물류 흐름을 실시간으로 관제하고, 지연·혼잡·장비 오류를 감지해 대응 방안을 제시하는 시스템</w:t>
            </w:r>
          </w:p>
        </w:tc>
      </w:tr>
    </w:tbl>
    <w:p/>
    <w:p>
      <w:pPr>
        <w:jc w:val="center"/>
        <w:spacing w:before="600"/>
      </w:pPr>
      <w:r>
        <w:rPr>
          <w:b/>
          <w:color w:val="2E74B5"/>
          <w:sz w:val="28"/>
        </w:rPr>
        <w:t>기능 정의 및 구현 계획서</w:t>
      </w:r>
    </w:p>
    <w:p>
      <w:r>
        <w:br w:type="page"/>
      </w:r>
    </w:p>
    <w:p>
      <w:pPr>
        <w:pStyle w:val="Heading1"/>
      </w:pPr>
      <w:r>
        <w:t>1. 프로젝트 개요</w:t>
      </w:r>
    </w:p>
    <w:p>
      <w:r>
        <w:t>본 프로젝트는 물류센터에서 발생할 수 있는 주문 우선순위 변화, 컨베이어 혼잡, 로봇팔 작업 실패, 배송 지연 위험 등을 하나의 중앙관제 시스템에서 관리하는 것을 목표로 한다. 컨베이어 벨트와 로봇팔은 실제 장비로 구성해 택배 분류 과정을 보여 주고, 다수의 물류 구역·추가 로봇·온도·전력·처리량 등은 Unity 시뮬레이션으로 구현한다. 따라서 실제 장비를 많이 구매하지 않고도 비교적 넓은 물류센터 운영 상황을 시연할 수 있다.</w:t>
      </w:r>
    </w:p>
    <w:p>
      <w:r>
        <w:t>기존 Unity 프로젝트의 컨베이어, 물품 생성, QR 정보, 카메라 기반 분류, 분류 구역 이동, 로봇팔 동작, 웹 대시보드 구조를 가능한 한 유지한다. 새 기능은 기존 분류 흐름 위에 주문 정보와 상태 관리, 오류 대응, 운영 지표를 추가하는 방식으로 개발한다.</w:t>
      </w:r>
    </w:p>
    <w:p>
      <w:pPr>
        <w:pStyle w:val="Heading1"/>
      </w:pPr>
      <w:r>
        <w:t>2. 시스템 구성</w:t>
      </w:r>
    </w:p>
    <w:tbl>
      <w:tblPr>
        <w:tblStyle w:val="TableGrid"/>
        <w:tblW w:w="0" w:type="auto"/>
        <w:tblLook w:val="04A0" w:firstRow="1" w:lastRow="0" w:firstColumn="1" w:lastColumn="0" w:noHBand="0" w:noVBand="1"/>
      </w:tblPr>
      <w:tblGrid>
        <w:gridCol w:w="3293"/>
        <w:gridCol w:w="3293"/>
        <w:gridCol w:w="3293"/>
      </w:tblGrid>
      <w:tr>
        <w:tc>
          <w:tcPr>
            <w:tcW w:w="3293" w:type="dxa"/>
            <w:shd w:val="clear" w:color="auto" w:fill="1F4E79"/>
          </w:tcPr>
          <w:p>
            <w:pPr>
              <w:spacing w:after="20"/>
            </w:pPr>
            <w:r>
              <w:rPr>
                <w:rFonts w:ascii="맑은 고딕" w:eastAsia="맑은 고딕" w:hAnsi="맑은 고딕"/>
                <w:b/>
                <w:color w:val="FFFFFF"/>
                <w:sz w:val="18"/>
              </w:rPr>
              <w:t>구성 요소</w:t>
            </w:r>
          </w:p>
        </w:tc>
        <w:tc>
          <w:tcPr>
            <w:tcW w:w="3293" w:type="dxa"/>
            <w:shd w:val="clear" w:color="auto" w:fill="1F4E79"/>
          </w:tcPr>
          <w:p>
            <w:pPr>
              <w:spacing w:after="20"/>
            </w:pPr>
            <w:r>
              <w:rPr>
                <w:rFonts w:ascii="맑은 고딕" w:eastAsia="맑은 고딕" w:hAnsi="맑은 고딕"/>
                <w:b/>
                <w:color w:val="FFFFFF"/>
                <w:sz w:val="18"/>
              </w:rPr>
              <w:t>역할</w:t>
            </w:r>
          </w:p>
        </w:tc>
        <w:tc>
          <w:tcPr>
            <w:tcW w:w="3293" w:type="dxa"/>
            <w:shd w:val="clear" w:color="auto" w:fill="1F4E79"/>
          </w:tcPr>
          <w:p>
            <w:pPr>
              <w:spacing w:after="20"/>
            </w:pPr>
            <w:r>
              <w:rPr>
                <w:rFonts w:ascii="맑은 고딕" w:eastAsia="맑은 고딕" w:hAnsi="맑은 고딕"/>
                <w:b/>
                <w:color w:val="FFFFFF"/>
                <w:sz w:val="18"/>
              </w:rPr>
              <w:t>구현 방식</w:t>
            </w:r>
          </w:p>
        </w:tc>
      </w:tr>
      <w:tr>
        <w:tc>
          <w:tcPr>
            <w:tcW w:w="3293" w:type="dxa"/>
          </w:tcPr>
          <w:p>
            <w:pPr>
              <w:spacing w:after="20"/>
            </w:pPr>
            <w:r>
              <w:rPr>
                <w:rFonts w:ascii="맑은 고딕" w:eastAsia="맑은 고딕" w:hAnsi="맑은 고딕"/>
                <w:b w:val="0"/>
                <w:sz w:val="17"/>
              </w:rPr>
              <w:t>실물 컨베이어 벨트</w:t>
            </w:r>
          </w:p>
        </w:tc>
        <w:tc>
          <w:tcPr>
            <w:tcW w:w="3293" w:type="dxa"/>
          </w:tcPr>
          <w:p>
            <w:pPr>
              <w:spacing w:after="20"/>
            </w:pPr>
            <w:r>
              <w:rPr>
                <w:rFonts w:ascii="맑은 고딕" w:eastAsia="맑은 고딕" w:hAnsi="맑은 고딕"/>
                <w:b w:val="0"/>
                <w:sz w:val="17"/>
              </w:rPr>
              <w:t>택배 상자를 작업 위치로 이동</w:t>
            </w:r>
          </w:p>
        </w:tc>
        <w:tc>
          <w:tcPr>
            <w:tcW w:w="3293" w:type="dxa"/>
          </w:tcPr>
          <w:p>
            <w:pPr>
              <w:spacing w:after="20"/>
            </w:pPr>
            <w:r>
              <w:rPr>
                <w:rFonts w:ascii="맑은 고딕" w:eastAsia="맑은 고딕" w:hAnsi="맑은 고딕"/>
                <w:b w:val="0"/>
                <w:sz w:val="17"/>
              </w:rPr>
              <w:t>속도·정지 상태를 실제 제어하거나 시연 환경에 맞춰 수동 제어</w:t>
            </w:r>
          </w:p>
        </w:tc>
      </w:tr>
      <w:tr>
        <w:tc>
          <w:tcPr>
            <w:tcW w:w="3293" w:type="dxa"/>
          </w:tcPr>
          <w:p>
            <w:pPr>
              <w:spacing w:after="20"/>
            </w:pPr>
            <w:r>
              <w:rPr>
                <w:rFonts w:ascii="맑은 고딕" w:eastAsia="맑은 고딕" w:hAnsi="맑은 고딕"/>
                <w:b w:val="0"/>
                <w:sz w:val="17"/>
              </w:rPr>
              <w:t>실물 로봇팔</w:t>
            </w:r>
          </w:p>
        </w:tc>
        <w:tc>
          <w:tcPr>
            <w:tcW w:w="3293" w:type="dxa"/>
          </w:tcPr>
          <w:p>
            <w:pPr>
              <w:spacing w:after="20"/>
            </w:pPr>
            <w:r>
              <w:rPr>
                <w:rFonts w:ascii="맑은 고딕" w:eastAsia="맑은 고딕" w:hAnsi="맑은 고딕"/>
                <w:b w:val="0"/>
                <w:sz w:val="17"/>
              </w:rPr>
              <w:t>택배를 집어 목적지 구역으로 분류</w:t>
            </w:r>
          </w:p>
        </w:tc>
        <w:tc>
          <w:tcPr>
            <w:tcW w:w="3293" w:type="dxa"/>
          </w:tcPr>
          <w:p>
            <w:pPr>
              <w:spacing w:after="20"/>
            </w:pPr>
            <w:r>
              <w:rPr>
                <w:rFonts w:ascii="맑은 고딕" w:eastAsia="맑은 고딕" w:hAnsi="맑은 고딕"/>
                <w:b w:val="0"/>
                <w:sz w:val="17"/>
              </w:rPr>
              <w:t>Unity 명령과 실제 제어기 연결 가능 여부를 확인한 뒤 연동</w:t>
            </w:r>
          </w:p>
        </w:tc>
      </w:tr>
      <w:tr>
        <w:tc>
          <w:tcPr>
            <w:tcW w:w="3293" w:type="dxa"/>
          </w:tcPr>
          <w:p>
            <w:pPr>
              <w:spacing w:after="20"/>
            </w:pPr>
            <w:r>
              <w:rPr>
                <w:rFonts w:ascii="맑은 고딕" w:eastAsia="맑은 고딕" w:hAnsi="맑은 고딕"/>
                <w:b w:val="0"/>
                <w:sz w:val="17"/>
              </w:rPr>
              <w:t>Unity 물류 시뮬레이션</w:t>
            </w:r>
          </w:p>
        </w:tc>
        <w:tc>
          <w:tcPr>
            <w:tcW w:w="3293" w:type="dxa"/>
          </w:tcPr>
          <w:p>
            <w:pPr>
              <w:spacing w:after="20"/>
            </w:pPr>
            <w:r>
              <w:rPr>
                <w:rFonts w:ascii="맑은 고딕" w:eastAsia="맑은 고딕" w:hAnsi="맑은 고딕"/>
                <w:b w:val="0"/>
                <w:sz w:val="17"/>
              </w:rPr>
              <w:t>여러 구역, 가상 장비, 대기열, 고장 상황을 표현</w:t>
            </w:r>
          </w:p>
        </w:tc>
        <w:tc>
          <w:tcPr>
            <w:tcW w:w="3293" w:type="dxa"/>
          </w:tcPr>
          <w:p>
            <w:pPr>
              <w:spacing w:after="20"/>
            </w:pPr>
            <w:r>
              <w:rPr>
                <w:rFonts w:ascii="맑은 고딕" w:eastAsia="맑은 고딕" w:hAnsi="맑은 고딕"/>
                <w:b w:val="0"/>
                <w:sz w:val="17"/>
              </w:rPr>
              <w:t>가상 센서값과 이벤트를 생성해 운영 상황 재현</w:t>
            </w:r>
          </w:p>
        </w:tc>
      </w:tr>
      <w:tr>
        <w:tc>
          <w:tcPr>
            <w:tcW w:w="3293" w:type="dxa"/>
          </w:tcPr>
          <w:p>
            <w:pPr>
              <w:spacing w:after="20"/>
            </w:pPr>
            <w:r>
              <w:rPr>
                <w:rFonts w:ascii="맑은 고딕" w:eastAsia="맑은 고딕" w:hAnsi="맑은 고딕"/>
                <w:b w:val="0"/>
                <w:sz w:val="17"/>
              </w:rPr>
              <w:t>중앙관제 로직 / AI</w:t>
            </w:r>
          </w:p>
        </w:tc>
        <w:tc>
          <w:tcPr>
            <w:tcW w:w="3293" w:type="dxa"/>
          </w:tcPr>
          <w:p>
            <w:pPr>
              <w:spacing w:after="20"/>
            </w:pPr>
            <w:r>
              <w:rPr>
                <w:rFonts w:ascii="맑은 고딕" w:eastAsia="맑은 고딕" w:hAnsi="맑은 고딕"/>
                <w:b w:val="0"/>
                <w:sz w:val="17"/>
              </w:rPr>
              <w:t>상태 통합, 우선순위 조정, 오류 원인·대응 안내</w:t>
            </w:r>
          </w:p>
        </w:tc>
        <w:tc>
          <w:tcPr>
            <w:tcW w:w="3293" w:type="dxa"/>
          </w:tcPr>
          <w:p>
            <w:pPr>
              <w:spacing w:after="20"/>
            </w:pPr>
            <w:r>
              <w:rPr>
                <w:rFonts w:ascii="맑은 고딕" w:eastAsia="맑은 고딕" w:hAnsi="맑은 고딕"/>
                <w:b w:val="0"/>
                <w:sz w:val="17"/>
              </w:rPr>
              <w:t>규칙 기반 로직부터 구현하고 필요 시 LLM API 연결</w:t>
            </w:r>
          </w:p>
        </w:tc>
      </w:tr>
      <w:tr>
        <w:tc>
          <w:tcPr>
            <w:tcW w:w="3293" w:type="dxa"/>
          </w:tcPr>
          <w:p>
            <w:pPr>
              <w:spacing w:after="20"/>
            </w:pPr>
            <w:r>
              <w:rPr>
                <w:rFonts w:ascii="맑은 고딕" w:eastAsia="맑은 고딕" w:hAnsi="맑은 고딕"/>
                <w:b w:val="0"/>
                <w:sz w:val="17"/>
              </w:rPr>
              <w:t>웹 대시보드</w:t>
            </w:r>
          </w:p>
        </w:tc>
        <w:tc>
          <w:tcPr>
            <w:tcW w:w="3293" w:type="dxa"/>
          </w:tcPr>
          <w:p>
            <w:pPr>
              <w:spacing w:after="20"/>
            </w:pPr>
            <w:r>
              <w:rPr>
                <w:rFonts w:ascii="맑은 고딕" w:eastAsia="맑은 고딕" w:hAnsi="맑은 고딕"/>
                <w:b w:val="0"/>
                <w:sz w:val="17"/>
              </w:rPr>
              <w:t>실시간 상태, 경고, 운영 지표와 AI 보고서 표시</w:t>
            </w:r>
          </w:p>
        </w:tc>
        <w:tc>
          <w:tcPr>
            <w:tcW w:w="3293" w:type="dxa"/>
          </w:tcPr>
          <w:p>
            <w:pPr>
              <w:spacing w:after="20"/>
            </w:pPr>
            <w:r>
              <w:rPr>
                <w:rFonts w:ascii="맑은 고딕" w:eastAsia="맑은 고딕" w:hAnsi="맑은 고딕"/>
                <w:b w:val="0"/>
                <w:sz w:val="17"/>
              </w:rPr>
              <w:t>기존 대시보드를 확장</w:t>
            </w:r>
          </w:p>
        </w:tc>
      </w:tr>
    </w:tbl>
    <w:p>
      <w:pPr>
        <w:pStyle w:val="Heading1"/>
      </w:pPr>
      <w:r>
        <w:t>3. 핵심 기능 상세</w:t>
      </w:r>
    </w:p>
    <w:p>
      <w:pPr>
        <w:pStyle w:val="Heading2"/>
      </w:pPr>
      <w:r>
        <w:t>3.1 주문 우선순위 자동 관리</w:t>
      </w:r>
    </w:p>
    <w:p>
      <w:r>
        <w:t>목적: 모든 택배를 도착 순서대로만 처리하지 않고, 긴급도와 마감 시간을 고려해 처리 순서를 조정한다.</w:t>
      </w:r>
    </w:p>
    <w:p>
      <w:pPr>
        <w:pStyle w:val="ListBullet"/>
        <w:spacing w:after="60"/>
      </w:pPr>
      <w:r>
        <w:t>택배별 관리 정보: 송장/QR ID, 목적지 구역, 주문 등급(일반·우선·긴급), 접수 시각, 배송 마감 시각, 현재 상태.</w:t>
      </w:r>
    </w:p>
    <w:p>
      <w:pPr>
        <w:pStyle w:val="ListBullet"/>
        <w:spacing w:after="60"/>
      </w:pPr>
      <w:r>
        <w:t>우선순위 예시: 긴급 등급을 먼저 처리하고, 같은 등급이면 마감 시간이 가까운 택배를 먼저 처리한다. 단, 이미 로봇팔이 집은 택배는 안전하게 작업을 끝낸 후 순서를 바꾼다.</w:t>
      </w:r>
    </w:p>
    <w:p>
      <w:pPr>
        <w:pStyle w:val="ListBullet"/>
        <w:spacing w:after="60"/>
      </w:pPr>
      <w:r>
        <w:t>화면 표시: 대기 목록, 우선순위, 남은 마감 시간, 현재 처리 단계, 지연 위험 색상(정상·주의·위험).</w:t>
      </w:r>
    </w:p>
    <w:p>
      <w:pPr>
        <w:pStyle w:val="ListBullet"/>
        <w:spacing w:after="60"/>
      </w:pPr>
      <w:r>
        <w:t>기대 효과: 긴급 주문 누락을 줄이고, 우선순위 조정 전후의 평균 대기 시간과 마감 준수율을 비교할 수 있다.</w:t>
      </w:r>
    </w:p>
    <w:p>
      <w:r>
        <w:t>최소 구현: Unity에서 택배마다 priority와 deadline 변수를 추가하고, 다음 처리 대상을 선택하는 정렬 규칙을 만든다. 초기에는 복잡한 AI 모델 없이 규칙 기반으로 구현해도 된다.</w:t>
      </w:r>
    </w:p>
    <w:p>
      <w:pPr>
        <w:pStyle w:val="Heading2"/>
      </w:pPr>
      <w:r>
        <w:t>3.2 컨베이어 혼잡 감지 및 흐름 조절</w:t>
      </w:r>
    </w:p>
    <w:p>
      <w:r>
        <w:t>목적: 특정 분류 구역에 택배가 몰리거나 로봇팔이 처리 속도를 따라가지 못하는 상황을 감지한다.</w:t>
      </w:r>
    </w:p>
    <w:p>
      <w:pPr>
        <w:pStyle w:val="ListBullet"/>
        <w:spacing w:after="60"/>
      </w:pPr>
      <w:r>
        <w:t>관찰 항목: 컨베이어 위 택배 수, 분류 대기열 길이, 로봇팔 작업 중 여부, 최근 일정 시간 동안 처리된 택배 수.</w:t>
      </w:r>
    </w:p>
    <w:p>
      <w:pPr>
        <w:pStyle w:val="ListBullet"/>
        <w:spacing w:after="60"/>
      </w:pPr>
      <w:r>
        <w:t>혼잡 판단 예시: 대기열이 5개 이상이거나, 10초 이상 대기열이 계속 증가하면 혼잡 경고를 발생시킨다. 임계값은 실제 시연 속도에 맞춰 조정한다.</w:t>
      </w:r>
    </w:p>
    <w:p>
      <w:pPr>
        <w:pStyle w:val="ListBullet"/>
        <w:spacing w:after="60"/>
      </w:pPr>
      <w:r>
        <w:t>대응 예시: 신규 택배 투입을 잠시 늦추고, 다른 분류 구역이 사용 가능하면 목적지를 재배정한다. 실제 장비의 속도 변경은 장비 제어가 검증된 경우에만 적용하고, 그렇지 않으면 Unity에서만 시뮬레이션한다.</w:t>
      </w:r>
    </w:p>
    <w:p>
      <w:pPr>
        <w:pStyle w:val="ListBullet"/>
        <w:spacing w:after="60"/>
      </w:pPr>
      <w:r>
        <w:t>화면 표시: 구역별 대기열 수, 컨베이어 속도, 혼잡 단계, 혼잡 발생 시각, 추천 조치.</w:t>
      </w:r>
    </w:p>
    <w:p>
      <w:pPr>
        <w:pStyle w:val="ListBullet"/>
        <w:spacing w:after="60"/>
      </w:pPr>
      <w:r>
        <w:t>기대 효과: 혼잡을 눈으로만 확인하는 방식에서 벗어나, 수치 기준으로 감지하고 대응 효과를 측정한다.</w:t>
      </w:r>
    </w:p>
    <w:p>
      <w:r>
        <w:t>최소 구현: 구역별 대기열 수를 세고, 기준값을 넘으면 대시보드 경고와 시뮬레이션 속도 조절을 실행한다.</w:t>
      </w:r>
    </w:p>
    <w:p>
      <w:pPr>
        <w:pStyle w:val="Heading2"/>
      </w:pPr>
      <w:r>
        <w:t>3.3 택배 인식 오류 및 오분류 처리</w:t>
      </w:r>
    </w:p>
    <w:p>
      <w:r>
        <w:t>목적: QR 정보와 카메라 분류 결과가 다르거나 인식 신뢰도가 낮을 때 정상 택배와 분리해 처리한다.</w:t>
      </w:r>
    </w:p>
    <w:p>
      <w:pPr>
        <w:pStyle w:val="ListBullet"/>
        <w:spacing w:after="60"/>
      </w:pPr>
      <w:r>
        <w:t>오류 조건 예시: QR을 읽지 못함, 카메라 분류 신뢰도가 기준 미만, QR의 목적지 정보와 분류 모델 결과가 불일치, 분류 대상이 등록되지 않은 유형임.</w:t>
      </w:r>
    </w:p>
    <w:p>
      <w:pPr>
        <w:pStyle w:val="ListBullet"/>
        <w:spacing w:after="60"/>
      </w:pPr>
      <w:r>
        <w:t>처리 절차: 오류 감지 → 택배를 예외 구역(Error/Unprocessed Zone)으로 분류 → 오류 종류 기록 → 재촬영 또는 재분류 시도 → 재시도 실패 시 작업자 확인 요청.</w:t>
      </w:r>
    </w:p>
    <w:p>
      <w:pPr>
        <w:pStyle w:val="ListBullet"/>
        <w:spacing w:after="60"/>
      </w:pPr>
      <w:r>
        <w:t>대시보드 기록: 택배 ID, 발생 시각, 오류 유형, 재시도 횟수, 최종 처리 결과.</w:t>
      </w:r>
    </w:p>
    <w:p>
      <w:pPr>
        <w:pStyle w:val="ListBullet"/>
        <w:spacing w:after="60"/>
      </w:pPr>
      <w:r>
        <w:t>기대 효과: 잘못된 구역으로 배송되는 위험을 줄이고, 어떤 오류가 자주 발생하는지 통계로 확인할 수 있다.</w:t>
      </w:r>
    </w:p>
    <w:p>
      <w:r>
        <w:t>최소 구현: 기존 Pass/Fail/Error 분류 체계를 유지하고, Error 발생 시 별도 구역으로 보내며 대시보드에 원인과 처리 결과를 남긴다.</w:t>
      </w:r>
    </w:p>
    <w:p>
      <w:pPr>
        <w:pStyle w:val="Heading2"/>
      </w:pPr>
      <w:r>
        <w:t>3.4 장비 상태 감시 및 오류 대응 안내</w:t>
      </w:r>
    </w:p>
    <w:p>
      <w:r>
        <w:t>목적: 로봇팔이나 컨베이어에 문제가 생겼을 때 중앙관제가 상태를 감지하고 가능한 원인과 대응 방법을 운영자에게 안내한다.</w:t>
      </w:r>
    </w:p>
    <w:tbl>
      <w:tblPr>
        <w:tblStyle w:val="TableGrid"/>
        <w:tblW w:w="0" w:type="auto"/>
        <w:tblLook w:val="04A0" w:firstRow="1" w:lastRow="0" w:firstColumn="1" w:lastColumn="0" w:noHBand="0" w:noVBand="1"/>
      </w:tblPr>
      <w:tblGrid>
        <w:gridCol w:w="2469"/>
        <w:gridCol w:w="2469"/>
        <w:gridCol w:w="2469"/>
        <w:gridCol w:w="2469"/>
      </w:tblGrid>
      <w:tr>
        <w:tc>
          <w:tcPr>
            <w:tcW w:w="2469" w:type="dxa"/>
            <w:shd w:val="clear" w:color="auto" w:fill="1F4E79"/>
          </w:tcPr>
          <w:p>
            <w:pPr>
              <w:spacing w:after="20"/>
            </w:pPr>
            <w:r>
              <w:rPr>
                <w:rFonts w:ascii="맑은 고딕" w:eastAsia="맑은 고딕" w:hAnsi="맑은 고딕"/>
                <w:b/>
                <w:color w:val="FFFFFF"/>
                <w:sz w:val="17"/>
              </w:rPr>
              <w:t>상황(예시)</w:t>
            </w:r>
          </w:p>
        </w:tc>
        <w:tc>
          <w:tcPr>
            <w:tcW w:w="2469" w:type="dxa"/>
            <w:shd w:val="clear" w:color="auto" w:fill="1F4E79"/>
          </w:tcPr>
          <w:p>
            <w:pPr>
              <w:spacing w:after="20"/>
            </w:pPr>
            <w:r>
              <w:rPr>
                <w:rFonts w:ascii="맑은 고딕" w:eastAsia="맑은 고딕" w:hAnsi="맑은 고딕"/>
                <w:b/>
                <w:color w:val="FFFFFF"/>
                <w:sz w:val="17"/>
              </w:rPr>
              <w:t>감지 조건(시뮬레이션)</w:t>
            </w:r>
          </w:p>
        </w:tc>
        <w:tc>
          <w:tcPr>
            <w:tcW w:w="2469" w:type="dxa"/>
            <w:shd w:val="clear" w:color="auto" w:fill="1F4E79"/>
          </w:tcPr>
          <w:p>
            <w:pPr>
              <w:spacing w:after="20"/>
            </w:pPr>
            <w:r>
              <w:rPr>
                <w:rFonts w:ascii="맑은 고딕" w:eastAsia="맑은 고딕" w:hAnsi="맑은 고딕"/>
                <w:b/>
                <w:color w:val="FFFFFF"/>
                <w:sz w:val="17"/>
              </w:rPr>
              <w:t>시스템 대응</w:t>
            </w:r>
          </w:p>
        </w:tc>
        <w:tc>
          <w:tcPr>
            <w:tcW w:w="2469" w:type="dxa"/>
            <w:shd w:val="clear" w:color="auto" w:fill="1F4E79"/>
          </w:tcPr>
          <w:p>
            <w:pPr>
              <w:spacing w:after="20"/>
            </w:pPr>
            <w:r>
              <w:rPr>
                <w:rFonts w:ascii="맑은 고딕" w:eastAsia="맑은 고딕" w:hAnsi="맑은 고딕"/>
                <w:b/>
                <w:color w:val="FFFFFF"/>
                <w:sz w:val="17"/>
              </w:rPr>
              <w:t>운영자 안내 예시</w:t>
            </w:r>
          </w:p>
        </w:tc>
      </w:tr>
      <w:tr>
        <w:tc>
          <w:tcPr>
            <w:tcW w:w="2469" w:type="dxa"/>
          </w:tcPr>
          <w:p>
            <w:pPr>
              <w:spacing w:after="20"/>
            </w:pPr>
            <w:r>
              <w:rPr>
                <w:rFonts w:ascii="맑은 고딕" w:eastAsia="맑은 고딕" w:hAnsi="맑은 고딕"/>
                <w:b w:val="0"/>
                <w:sz w:val="16"/>
              </w:rPr>
              <w:t>로봇팔 집기 실패</w:t>
            </w:r>
          </w:p>
        </w:tc>
        <w:tc>
          <w:tcPr>
            <w:tcW w:w="2469" w:type="dxa"/>
          </w:tcPr>
          <w:p>
            <w:pPr>
              <w:spacing w:after="20"/>
            </w:pPr>
            <w:r>
              <w:rPr>
                <w:rFonts w:ascii="맑은 고딕" w:eastAsia="맑은 고딕" w:hAnsi="맑은 고딕"/>
                <w:b w:val="0"/>
                <w:sz w:val="16"/>
              </w:rPr>
              <w:t>집기 동작 후 택배가 그리퍼에 붙지 않음</w:t>
            </w:r>
          </w:p>
        </w:tc>
        <w:tc>
          <w:tcPr>
            <w:tcW w:w="2469" w:type="dxa"/>
          </w:tcPr>
          <w:p>
            <w:pPr>
              <w:spacing w:after="20"/>
            </w:pPr>
            <w:r>
              <w:rPr>
                <w:rFonts w:ascii="맑은 고딕" w:eastAsia="맑은 고딕" w:hAnsi="맑은 고딕"/>
                <w:b w:val="0"/>
                <w:sz w:val="16"/>
              </w:rPr>
              <w:t>1회 재시도 후 실패 시 오류 구역으로 전환</w:t>
            </w:r>
          </w:p>
        </w:tc>
        <w:tc>
          <w:tcPr>
            <w:tcW w:w="2469" w:type="dxa"/>
          </w:tcPr>
          <w:p>
            <w:pPr>
              <w:spacing w:after="20"/>
            </w:pPr>
            <w:r>
              <w:rPr>
                <w:rFonts w:ascii="맑은 고딕" w:eastAsia="맑은 고딕" w:hAnsi="맑은 고딕"/>
                <w:b w:val="0"/>
                <w:sz w:val="16"/>
              </w:rPr>
              <w:t>택배 위치와 그리퍼 정렬을 확인하고 재시도하세요.</w:t>
            </w:r>
          </w:p>
        </w:tc>
      </w:tr>
      <w:tr>
        <w:tc>
          <w:tcPr>
            <w:tcW w:w="2469" w:type="dxa"/>
          </w:tcPr>
          <w:p>
            <w:pPr>
              <w:spacing w:after="20"/>
            </w:pPr>
            <w:r>
              <w:rPr>
                <w:rFonts w:ascii="맑은 고딕" w:eastAsia="맑은 고딕" w:hAnsi="맑은 고딕"/>
                <w:b w:val="0"/>
                <w:sz w:val="16"/>
              </w:rPr>
              <w:t>컨베이어 정지</w:t>
            </w:r>
          </w:p>
        </w:tc>
        <w:tc>
          <w:tcPr>
            <w:tcW w:w="2469" w:type="dxa"/>
          </w:tcPr>
          <w:p>
            <w:pPr>
              <w:spacing w:after="20"/>
            </w:pPr>
            <w:r>
              <w:rPr>
                <w:rFonts w:ascii="맑은 고딕" w:eastAsia="맑은 고딕" w:hAnsi="맑은 고딕"/>
                <w:b w:val="0"/>
                <w:sz w:val="16"/>
              </w:rPr>
              <w:t>정지 명령이 없는데 이동 상태가 일정 시간 변하지 않음</w:t>
            </w:r>
          </w:p>
        </w:tc>
        <w:tc>
          <w:tcPr>
            <w:tcW w:w="2469" w:type="dxa"/>
          </w:tcPr>
          <w:p>
            <w:pPr>
              <w:spacing w:after="20"/>
            </w:pPr>
            <w:r>
              <w:rPr>
                <w:rFonts w:ascii="맑은 고딕" w:eastAsia="맑은 고딕" w:hAnsi="맑은 고딕"/>
                <w:b w:val="0"/>
                <w:sz w:val="16"/>
              </w:rPr>
              <w:t>해당 구간에 신규 투입을 제한하고 경고 표시</w:t>
            </w:r>
          </w:p>
        </w:tc>
        <w:tc>
          <w:tcPr>
            <w:tcW w:w="2469" w:type="dxa"/>
          </w:tcPr>
          <w:p>
            <w:pPr>
              <w:spacing w:after="20"/>
            </w:pPr>
            <w:r>
              <w:rPr>
                <w:rFonts w:ascii="맑은 고딕" w:eastAsia="맑은 고딕" w:hAnsi="맑은 고딕"/>
                <w:b w:val="0"/>
                <w:sz w:val="16"/>
              </w:rPr>
              <w:t>전원·모터 상태와 이물질 여부를 확인하세요.</w:t>
            </w:r>
          </w:p>
        </w:tc>
      </w:tr>
      <w:tr>
        <w:tc>
          <w:tcPr>
            <w:tcW w:w="2469" w:type="dxa"/>
          </w:tcPr>
          <w:p>
            <w:pPr>
              <w:spacing w:after="20"/>
            </w:pPr>
            <w:r>
              <w:rPr>
                <w:rFonts w:ascii="맑은 고딕" w:eastAsia="맑은 고딕" w:hAnsi="맑은 고딕"/>
                <w:b w:val="0"/>
                <w:sz w:val="16"/>
              </w:rPr>
              <w:t>가상 모터 과열</w:t>
            </w:r>
          </w:p>
        </w:tc>
        <w:tc>
          <w:tcPr>
            <w:tcW w:w="2469" w:type="dxa"/>
          </w:tcPr>
          <w:p>
            <w:pPr>
              <w:spacing w:after="20"/>
            </w:pPr>
            <w:r>
              <w:rPr>
                <w:rFonts w:ascii="맑은 고딕" w:eastAsia="맑은 고딕" w:hAnsi="맑은 고딕"/>
                <w:b w:val="0"/>
                <w:sz w:val="16"/>
              </w:rPr>
              <w:t>시뮬레이션 온도가 설정 임계값 초과</w:t>
            </w:r>
          </w:p>
        </w:tc>
        <w:tc>
          <w:tcPr>
            <w:tcW w:w="2469" w:type="dxa"/>
          </w:tcPr>
          <w:p>
            <w:pPr>
              <w:spacing w:after="20"/>
            </w:pPr>
            <w:r>
              <w:rPr>
                <w:rFonts w:ascii="맑은 고딕" w:eastAsia="맑은 고딕" w:hAnsi="맑은 고딕"/>
                <w:b w:val="0"/>
                <w:sz w:val="16"/>
              </w:rPr>
              <w:t>가상 속도 감소 또는 일시 정지</w:t>
            </w:r>
          </w:p>
        </w:tc>
        <w:tc>
          <w:tcPr>
            <w:tcW w:w="2469" w:type="dxa"/>
          </w:tcPr>
          <w:p>
            <w:pPr>
              <w:spacing w:after="20"/>
            </w:pPr>
            <w:r>
              <w:rPr>
                <w:rFonts w:ascii="맑은 고딕" w:eastAsia="맑은 고딕" w:hAnsi="맑은 고딕"/>
                <w:b w:val="0"/>
                <w:sz w:val="16"/>
              </w:rPr>
              <w:t>부하를 줄이고 냉각 후 재가동 여부를 확인하세요.</w:t>
            </w:r>
          </w:p>
        </w:tc>
      </w:tr>
      <w:tr>
        <w:tc>
          <w:tcPr>
            <w:tcW w:w="2469" w:type="dxa"/>
          </w:tcPr>
          <w:p>
            <w:pPr>
              <w:spacing w:after="20"/>
            </w:pPr>
            <w:r>
              <w:rPr>
                <w:rFonts w:ascii="맑은 고딕" w:eastAsia="맑은 고딕" w:hAnsi="맑은 고딕"/>
                <w:b w:val="0"/>
                <w:sz w:val="16"/>
              </w:rPr>
              <w:t>인식 오류 반복</w:t>
            </w:r>
          </w:p>
        </w:tc>
        <w:tc>
          <w:tcPr>
            <w:tcW w:w="2469" w:type="dxa"/>
          </w:tcPr>
          <w:p>
            <w:pPr>
              <w:spacing w:after="20"/>
            </w:pPr>
            <w:r>
              <w:rPr>
                <w:rFonts w:ascii="맑은 고딕" w:eastAsia="맑은 고딕" w:hAnsi="맑은 고딕"/>
                <w:b w:val="0"/>
                <w:sz w:val="16"/>
              </w:rPr>
              <w:t>같은 택배가 정해진 횟수 이상 분류 실패</w:t>
            </w:r>
          </w:p>
        </w:tc>
        <w:tc>
          <w:tcPr>
            <w:tcW w:w="2469" w:type="dxa"/>
          </w:tcPr>
          <w:p>
            <w:pPr>
              <w:spacing w:after="20"/>
            </w:pPr>
            <w:r>
              <w:rPr>
                <w:rFonts w:ascii="맑은 고딕" w:eastAsia="맑은 고딕" w:hAnsi="맑은 고딕"/>
                <w:b w:val="0"/>
                <w:sz w:val="16"/>
              </w:rPr>
              <w:t>자동 재시도를 중단하고 작업자 확인 요청</w:t>
            </w:r>
          </w:p>
        </w:tc>
        <w:tc>
          <w:tcPr>
            <w:tcW w:w="2469" w:type="dxa"/>
          </w:tcPr>
          <w:p>
            <w:pPr>
              <w:spacing w:after="20"/>
            </w:pPr>
            <w:r>
              <w:rPr>
                <w:rFonts w:ascii="맑은 고딕" w:eastAsia="맑은 고딕" w:hAnsi="맑은 고딕"/>
                <w:b w:val="0"/>
                <w:sz w:val="16"/>
              </w:rPr>
              <w:t>QR 상태와 카메라 시야를 확인한 뒤 수동 분류하세요.</w:t>
            </w:r>
          </w:p>
        </w:tc>
      </w:tr>
      <w:tr>
        <w:tc>
          <w:tcPr>
            <w:tcW w:w="2469" w:type="dxa"/>
          </w:tcPr>
          <w:p>
            <w:pPr>
              <w:spacing w:after="20"/>
            </w:pPr>
            <w:r>
              <w:rPr>
                <w:rFonts w:ascii="맑은 고딕" w:eastAsia="맑은 고딕" w:hAnsi="맑은 고딕"/>
                <w:b w:val="0"/>
                <w:sz w:val="16"/>
              </w:rPr>
              <w:t>통신 끊김</w:t>
            </w:r>
          </w:p>
        </w:tc>
        <w:tc>
          <w:tcPr>
            <w:tcW w:w="2469" w:type="dxa"/>
          </w:tcPr>
          <w:p>
            <w:pPr>
              <w:spacing w:after="20"/>
            </w:pPr>
            <w:r>
              <w:rPr>
                <w:rFonts w:ascii="맑은 고딕" w:eastAsia="맑은 고딕" w:hAnsi="맑은 고딕"/>
                <w:b w:val="0"/>
                <w:sz w:val="16"/>
              </w:rPr>
              <w:t>Unity와 제어기 사이 상태 응답이 일정 시간 없음</w:t>
            </w:r>
          </w:p>
        </w:tc>
        <w:tc>
          <w:tcPr>
            <w:tcW w:w="2469" w:type="dxa"/>
          </w:tcPr>
          <w:p>
            <w:pPr>
              <w:spacing w:after="20"/>
            </w:pPr>
            <w:r>
              <w:rPr>
                <w:rFonts w:ascii="맑은 고딕" w:eastAsia="맑은 고딕" w:hAnsi="맑은 고딕"/>
                <w:b w:val="0"/>
                <w:sz w:val="16"/>
              </w:rPr>
              <w:t>실물 장비 명령 중지 또는 안전 상태 유지</w:t>
            </w:r>
          </w:p>
        </w:tc>
        <w:tc>
          <w:tcPr>
            <w:tcW w:w="2469" w:type="dxa"/>
          </w:tcPr>
          <w:p>
            <w:pPr>
              <w:spacing w:after="20"/>
            </w:pPr>
            <w:r>
              <w:rPr>
                <w:rFonts w:ascii="맑은 고딕" w:eastAsia="맑은 고딕" w:hAnsi="맑은 고딕"/>
                <w:b w:val="0"/>
                <w:sz w:val="16"/>
              </w:rPr>
              <w:t>연결 케이블과 제어기 통신 상태를 확인하세요.</w:t>
            </w:r>
          </w:p>
        </w:tc>
      </w:tr>
    </w:tbl>
    <w:p>
      <w:r>
        <w:t>AI 활용 방식: 1단계에서는 오류 유형별 규칙과 안내 문구를 미리 정의해 안정적으로 동작시킨다. 이후 LLM API를 연결하면 현재 상태·오류 기록을 입력으로 받아 원인 후보와 조치 순서를 자연어로 설명하게 할 수 있다. LLM의 답변은 참고 안내로 표시하고, 검증되지 않은 명령을 실물 장비에 직접 실행하지 않는다.</w:t>
      </w:r>
    </w:p>
    <w:p>
      <w:r>
        <w:t>최소 구현: 오류 발생 버튼 또는 확률 기반 이벤트로 고장을 발생시키고, 감지·기록·안내·안전 정지 흐름을 시연한다.</w:t>
      </w:r>
    </w:p>
    <w:p>
      <w:pPr>
        <w:pStyle w:val="Heading2"/>
      </w:pPr>
      <w:r>
        <w:t>3.5 배송 지연 위험 예측</w:t>
      </w:r>
    </w:p>
    <w:p>
      <w:r>
        <w:t>목적: 현재 대기열과 처리 속도를 바탕으로 택배가 마감 시간 안에 처리될 수 있는지 예측한다.</w:t>
      </w:r>
    </w:p>
    <w:p>
      <w:pPr>
        <w:pStyle w:val="ListBullet"/>
        <w:spacing w:after="60"/>
      </w:pPr>
      <w:r>
        <w:t>입력 데이터: 대기 중인 택배 수, 최근 처리 속도(개/분), 현재 장비 고장 여부, 택배별 마감 시간.</w:t>
      </w:r>
    </w:p>
    <w:p>
      <w:pPr>
        <w:pStyle w:val="ListBullet"/>
        <w:spacing w:after="60"/>
      </w:pPr>
      <w:r>
        <w:t>간단한 계산 예시: 예상 대기 시간 ≈ 앞선 택배 수 ÷ 최근 평균 처리 속도. 계산 결과에 작업 중단 시간이나 고장 상태를 반영해 보정한다.</w:t>
      </w:r>
    </w:p>
    <w:p>
      <w:pPr>
        <w:pStyle w:val="ListBullet"/>
        <w:spacing w:after="60"/>
      </w:pPr>
      <w:r>
        <w:t>위험 판정: 예상 완료 시각이 마감 시각보다 충분히 빠르면 정상, 마감에 가까우면 주의, 마감을 넘길 것으로 예상되면 지연 위험으로 표시한다.</w:t>
      </w:r>
    </w:p>
    <w:p>
      <w:pPr>
        <w:pStyle w:val="ListBullet"/>
        <w:spacing w:after="60"/>
      </w:pPr>
      <w:r>
        <w:t>추천 조치: 긴급 택배 우선 처리, 정상 상태인 다른 구역으로 작업 분산, 신규 투입 속도 조정.</w:t>
      </w:r>
    </w:p>
    <w:p>
      <w:pPr>
        <w:pStyle w:val="ListBullet"/>
        <w:spacing w:after="60"/>
      </w:pPr>
      <w:r>
        <w:t>기대 효과: 실제 지연이 발생한 뒤 대응하는 것이 아니라, 지연 가능성을 미리 보여 주고 조치를 비교할 수 있다.</w:t>
      </w:r>
    </w:p>
    <w:p>
      <w:r>
        <w:t>최소 구현: 실시간 AI 예측 모델 대신 최근 처리 속도와 대기열을 이용한 산술 계산으로 시작한다. 이후 시연 데이터를 모아 예측 정확도를 개선한다.</w:t>
      </w:r>
    </w:p>
    <w:p>
      <w:pPr>
        <w:pStyle w:val="Heading2"/>
      </w:pPr>
      <w:r>
        <w:t>3.6 에너지·운영 비용 비교</w:t>
      </w:r>
    </w:p>
    <w:p>
      <w:r>
        <w:t>목적: 처리 속도만 높이는 운영과 에너지를 아끼는 운영의 차이를 비교한다. 실제 전력 센서를 구매하지 않고도 가상 전력값으로 구현할 수 있다.</w:t>
      </w:r>
    </w:p>
    <w:p>
      <w:pPr>
        <w:pStyle w:val="ListBullet"/>
        <w:spacing w:after="60"/>
      </w:pPr>
      <w:r>
        <w:t>시뮬레이션 항목: 컨베이어 가동 시간, 로봇팔 작업 횟수, 대기 시간, 장비별 가상 소비전력, 오류로 인한 정지 시간.</w:t>
      </w:r>
    </w:p>
    <w:p>
      <w:pPr>
        <w:pStyle w:val="ListBullet"/>
        <w:spacing w:after="60"/>
      </w:pPr>
      <w:r>
        <w:t>운영 모드 예시: 처리량 우선 모드(빠른 처리), 절전 모드(대기 시 저속·대기 상태), 균형 모드(마감 시간과 소비량을 함께 고려).</w:t>
      </w:r>
    </w:p>
    <w:p>
      <w:pPr>
        <w:pStyle w:val="ListBullet"/>
        <w:spacing w:after="60"/>
      </w:pPr>
      <w:r>
        <w:t>비교 지표: 처리 택배 수, 평균 대기 시간, 가상 에너지 사용량, 택배 1개당 에너지, 지연 건수.</w:t>
      </w:r>
    </w:p>
    <w:p>
      <w:pPr>
        <w:pStyle w:val="ListBullet"/>
        <w:spacing w:after="60"/>
      </w:pPr>
      <w:r>
        <w:t>주의: 시뮬레이션 전력량은 실제 측정값이 아니라 비교용 추정치로 표시한다.</w:t>
      </w:r>
    </w:p>
    <w:p>
      <w:r>
        <w:t>최소 구현: 모드별로 가상 전력 계수와 컨베이어 속도를 다르게 설정하고, 같은 물량을 처리한 결과를 표와 그래프로 비교한다.</w:t>
      </w:r>
    </w:p>
    <w:p>
      <w:pPr>
        <w:pStyle w:val="Heading2"/>
      </w:pPr>
      <w:r>
        <w:t>3.7 중앙 AI 운영 보고서</w:t>
      </w:r>
    </w:p>
    <w:p>
      <w:r>
        <w:t>목적: 시연 결과를 사람이 이해하기 쉬운 요약 보고서로 자동 정리한다.</w:t>
      </w:r>
    </w:p>
    <w:p>
      <w:pPr>
        <w:pStyle w:val="ListBullet"/>
        <w:spacing w:after="60"/>
      </w:pPr>
      <w:r>
        <w:t>보고서 항목: 총 투입/처리 택배 수, 정상 분류 수, 오류 수, 평균 대기 시간, 혼잡 발생 횟수, 장비 정지 시간, 지연 위험 건수, 가상 에너지 사용량.</w:t>
      </w:r>
    </w:p>
    <w:p>
      <w:pPr>
        <w:pStyle w:val="ListBullet"/>
        <w:spacing w:after="60"/>
      </w:pPr>
      <w:r>
        <w:t>AI 요약 예시: “이번 작업에서는 40개 중 36개가 정상 분류되었고, 2건의 인식 오류와 1회의 로봇팔 집기 실패가 발생했습니다. 후반부 대기열이 증가했으므로 긴급 택배 우선 처리와 투입 속도 조정을 권장합니다.”</w:t>
      </w:r>
    </w:p>
    <w:p>
      <w:pPr>
        <w:pStyle w:val="ListBullet"/>
        <w:spacing w:after="60"/>
      </w:pPr>
      <w:r>
        <w:t>활용 방식: 시연 전후 비교, 발표 자료, 스마트경영학과의 운영 효율 분석에 활용한다.</w:t>
      </w:r>
    </w:p>
    <w:p>
      <w:r>
        <w:t>최소 구현: Unity/대시보드에서 집계한 수치를 템플릿 문장에 넣어 보고서를 만든다. LLM을 연결하면 수치에 대한 설명과 개선 제안을 자연어로 생성할 수 있다.</w:t>
      </w:r>
    </w:p>
    <w:p>
      <w:pPr>
        <w:pStyle w:val="Heading1"/>
      </w:pPr>
      <w:r>
        <w:t>4. 전체 시연 시나리오</w:t>
      </w:r>
    </w:p>
    <w:p>
      <w:pPr>
        <w:pStyle w:val="ListNumber"/>
        <w:spacing w:after="60"/>
      </w:pPr>
      <w:r>
        <w:t>정상 운영: 일반·우선·긴급 택배가 컨베이어에 투입되고 QR/카메라 분류를 거쳐 로봇팔이 목적지별 구역으로 옮긴다.</w:t>
      </w:r>
    </w:p>
    <w:p>
      <w:pPr>
        <w:pStyle w:val="ListNumber"/>
        <w:spacing w:after="60"/>
      </w:pPr>
      <w:r>
        <w:t>주문 급증: 긴급 택배가 한꺼번에 들어오면 중앙관제가 우선순위를 다시 계산하고 대기 목록을 갱신한다.</w:t>
      </w:r>
    </w:p>
    <w:p>
      <w:pPr>
        <w:pStyle w:val="ListNumber"/>
        <w:spacing w:after="60"/>
      </w:pPr>
      <w:r>
        <w:t>혼잡 발생: 특정 구역의 대기열이 임계값을 넘으면 대시보드에 경고를 띄우고, 신규 투입 속도를 낮추거나 다른 구역으로 분산하는 방안을 제안한다.</w:t>
      </w:r>
    </w:p>
    <w:p>
      <w:pPr>
        <w:pStyle w:val="ListNumber"/>
        <w:spacing w:after="60"/>
      </w:pPr>
      <w:r>
        <w:t>장비 오류: 로봇팔 집기 실패 또는 컨베이어 정지 이벤트를 발생시킨다. 시스템은 오류를 기록하고 안전 상태로 전환한 뒤 원인 후보와 점검 순서를 안내한다.</w:t>
      </w:r>
    </w:p>
    <w:p>
      <w:pPr>
        <w:pStyle w:val="ListNumber"/>
        <w:spacing w:after="60"/>
      </w:pPr>
      <w:r>
        <w:t>복구 후 재개: 운영자가 상태를 확인하고 재개를 승인하면 처리 흐름을 다시 시작한다. 반복 오류 시 자동 재시도 대신 작업자 확인을 요청한다.</w:t>
      </w:r>
    </w:p>
    <w:p>
      <w:pPr>
        <w:pStyle w:val="ListNumber"/>
        <w:spacing w:after="60"/>
      </w:pPr>
      <w:r>
        <w:t>결과 비교: 처리량, 평균 대기 시간, 지연 건수, 오류 횟수, 가상 에너지 사용량을 오류 발생 전후 또는 운영 모드별로 비교한다.</w:t>
      </w:r>
    </w:p>
    <w:p>
      <w:pPr>
        <w:pStyle w:val="ListNumber"/>
        <w:spacing w:after="60"/>
      </w:pPr>
      <w:r>
        <w:t>운영 보고서 생성: 중앙관제가 시연 결과를 요약하고 다음 운영에서 개선할 항목을 제시한다.</w:t>
      </w:r>
    </w:p>
    <w:p>
      <w:pPr>
        <w:pStyle w:val="Heading1"/>
      </w:pPr>
      <w:r>
        <w:t>5. 대시보드 화면 구성 제안</w:t>
      </w:r>
    </w:p>
    <w:tbl>
      <w:tblPr>
        <w:tblStyle w:val="TableGrid"/>
        <w:tblW w:w="0" w:type="auto"/>
        <w:tblLook w:val="04A0" w:firstRow="1" w:lastRow="0" w:firstColumn="1" w:lastColumn="0" w:noHBand="0" w:noVBand="1"/>
      </w:tblPr>
      <w:tblGrid>
        <w:gridCol w:w="3293"/>
        <w:gridCol w:w="3293"/>
        <w:gridCol w:w="3293"/>
      </w:tblGrid>
      <w:tr>
        <w:tc>
          <w:tcPr>
            <w:tcW w:w="3293" w:type="dxa"/>
            <w:shd w:val="clear" w:color="auto" w:fill="1F4E79"/>
          </w:tcPr>
          <w:p>
            <w:pPr>
              <w:spacing w:after="20"/>
            </w:pPr>
            <w:r>
              <w:rPr>
                <w:rFonts w:ascii="맑은 고딕" w:eastAsia="맑은 고딕" w:hAnsi="맑은 고딕"/>
                <w:b/>
                <w:color w:val="FFFFFF"/>
                <w:sz w:val="18"/>
              </w:rPr>
              <w:t>화면 영역</w:t>
            </w:r>
          </w:p>
        </w:tc>
        <w:tc>
          <w:tcPr>
            <w:tcW w:w="3293" w:type="dxa"/>
            <w:shd w:val="clear" w:color="auto" w:fill="1F4E79"/>
          </w:tcPr>
          <w:p>
            <w:pPr>
              <w:spacing w:after="20"/>
            </w:pPr>
            <w:r>
              <w:rPr>
                <w:rFonts w:ascii="맑은 고딕" w:eastAsia="맑은 고딕" w:hAnsi="맑은 고딕"/>
                <w:b/>
                <w:color w:val="FFFFFF"/>
                <w:sz w:val="18"/>
              </w:rPr>
              <w:t>표시 내용</w:t>
            </w:r>
          </w:p>
        </w:tc>
        <w:tc>
          <w:tcPr>
            <w:tcW w:w="3293" w:type="dxa"/>
            <w:shd w:val="clear" w:color="auto" w:fill="1F4E79"/>
          </w:tcPr>
          <w:p>
            <w:pPr>
              <w:spacing w:after="20"/>
            </w:pPr>
            <w:r>
              <w:rPr>
                <w:rFonts w:ascii="맑은 고딕" w:eastAsia="맑은 고딕" w:hAnsi="맑은 고딕"/>
                <w:b/>
                <w:color w:val="FFFFFF"/>
                <w:sz w:val="18"/>
              </w:rPr>
              <w:t>사용 목적</w:t>
            </w:r>
          </w:p>
        </w:tc>
      </w:tr>
      <w:tr>
        <w:tc>
          <w:tcPr>
            <w:tcW w:w="3293" w:type="dxa"/>
          </w:tcPr>
          <w:p>
            <w:pPr>
              <w:spacing w:after="20"/>
            </w:pPr>
            <w:r>
              <w:rPr>
                <w:rFonts w:ascii="맑은 고딕" w:eastAsia="맑은 고딕" w:hAnsi="맑은 고딕"/>
                <w:b w:val="0"/>
                <w:sz w:val="17"/>
              </w:rPr>
              <w:t>전체 현황</w:t>
            </w:r>
          </w:p>
        </w:tc>
        <w:tc>
          <w:tcPr>
            <w:tcW w:w="3293" w:type="dxa"/>
          </w:tcPr>
          <w:p>
            <w:pPr>
              <w:spacing w:after="20"/>
            </w:pPr>
            <w:r>
              <w:rPr>
                <w:rFonts w:ascii="맑은 고딕" w:eastAsia="맑은 고딕" w:hAnsi="맑은 고딕"/>
                <w:b w:val="0"/>
                <w:sz w:val="17"/>
              </w:rPr>
              <w:t>처리량, 정상률, 오류 수, 지연 위험 건수, 장비 가동 상태</w:t>
            </w:r>
          </w:p>
        </w:tc>
        <w:tc>
          <w:tcPr>
            <w:tcW w:w="3293" w:type="dxa"/>
          </w:tcPr>
          <w:p>
            <w:pPr>
              <w:spacing w:after="20"/>
            </w:pPr>
            <w:r>
              <w:rPr>
                <w:rFonts w:ascii="맑은 고딕" w:eastAsia="맑은 고딕" w:hAnsi="맑은 고딕"/>
                <w:b w:val="0"/>
                <w:sz w:val="17"/>
              </w:rPr>
              <w:t>물류센터 전체 상태를 빠르게 확인</w:t>
            </w:r>
          </w:p>
        </w:tc>
      </w:tr>
      <w:tr>
        <w:tc>
          <w:tcPr>
            <w:tcW w:w="3293" w:type="dxa"/>
          </w:tcPr>
          <w:p>
            <w:pPr>
              <w:spacing w:after="20"/>
            </w:pPr>
            <w:r>
              <w:rPr>
                <w:rFonts w:ascii="맑은 고딕" w:eastAsia="맑은 고딕" w:hAnsi="맑은 고딕"/>
                <w:b w:val="0"/>
                <w:sz w:val="17"/>
              </w:rPr>
              <w:t>주문 관리</w:t>
            </w:r>
          </w:p>
        </w:tc>
        <w:tc>
          <w:tcPr>
            <w:tcW w:w="3293" w:type="dxa"/>
          </w:tcPr>
          <w:p>
            <w:pPr>
              <w:spacing w:after="20"/>
            </w:pPr>
            <w:r>
              <w:rPr>
                <w:rFonts w:ascii="맑은 고딕" w:eastAsia="맑은 고딕" w:hAnsi="맑은 고딕"/>
                <w:b w:val="0"/>
                <w:sz w:val="17"/>
              </w:rPr>
              <w:t>택배 ID, 목적지, 우선순위, 마감 시간, 처리 단계</w:t>
            </w:r>
          </w:p>
        </w:tc>
        <w:tc>
          <w:tcPr>
            <w:tcW w:w="3293" w:type="dxa"/>
          </w:tcPr>
          <w:p>
            <w:pPr>
              <w:spacing w:after="20"/>
            </w:pPr>
            <w:r>
              <w:rPr>
                <w:rFonts w:ascii="맑은 고딕" w:eastAsia="맑은 고딕" w:hAnsi="맑은 고딕"/>
                <w:b w:val="0"/>
                <w:sz w:val="17"/>
              </w:rPr>
              <w:t>우선순위 변경과 지연 확인</w:t>
            </w:r>
          </w:p>
        </w:tc>
      </w:tr>
      <w:tr>
        <w:tc>
          <w:tcPr>
            <w:tcW w:w="3293" w:type="dxa"/>
          </w:tcPr>
          <w:p>
            <w:pPr>
              <w:spacing w:after="20"/>
            </w:pPr>
            <w:r>
              <w:rPr>
                <w:rFonts w:ascii="맑은 고딕" w:eastAsia="맑은 고딕" w:hAnsi="맑은 고딕"/>
                <w:b w:val="0"/>
                <w:sz w:val="17"/>
              </w:rPr>
              <w:t>구역별 혼잡</w:t>
            </w:r>
          </w:p>
        </w:tc>
        <w:tc>
          <w:tcPr>
            <w:tcW w:w="3293" w:type="dxa"/>
          </w:tcPr>
          <w:p>
            <w:pPr>
              <w:spacing w:after="20"/>
            </w:pPr>
            <w:r>
              <w:rPr>
                <w:rFonts w:ascii="맑은 고딕" w:eastAsia="맑은 고딕" w:hAnsi="맑은 고딕"/>
                <w:b w:val="0"/>
                <w:sz w:val="17"/>
              </w:rPr>
              <w:t>구역별 대기열, 컨베이어 속도, 혼잡 경고</w:t>
            </w:r>
          </w:p>
        </w:tc>
        <w:tc>
          <w:tcPr>
            <w:tcW w:w="3293" w:type="dxa"/>
          </w:tcPr>
          <w:p>
            <w:pPr>
              <w:spacing w:after="20"/>
            </w:pPr>
            <w:r>
              <w:rPr>
                <w:rFonts w:ascii="맑은 고딕" w:eastAsia="맑은 고딕" w:hAnsi="맑은 고딕"/>
                <w:b w:val="0"/>
                <w:sz w:val="17"/>
              </w:rPr>
              <w:t>병목 구간을 파악</w:t>
            </w:r>
          </w:p>
        </w:tc>
      </w:tr>
      <w:tr>
        <w:tc>
          <w:tcPr>
            <w:tcW w:w="3293" w:type="dxa"/>
          </w:tcPr>
          <w:p>
            <w:pPr>
              <w:spacing w:after="20"/>
            </w:pPr>
            <w:r>
              <w:rPr>
                <w:rFonts w:ascii="맑은 고딕" w:eastAsia="맑은 고딕" w:hAnsi="맑은 고딕"/>
                <w:b w:val="0"/>
                <w:sz w:val="17"/>
              </w:rPr>
              <w:t>장비·오류 기록</w:t>
            </w:r>
          </w:p>
        </w:tc>
        <w:tc>
          <w:tcPr>
            <w:tcW w:w="3293" w:type="dxa"/>
          </w:tcPr>
          <w:p>
            <w:pPr>
              <w:spacing w:after="20"/>
            </w:pPr>
            <w:r>
              <w:rPr>
                <w:rFonts w:ascii="맑은 고딕" w:eastAsia="맑은 고딕" w:hAnsi="맑은 고딕"/>
                <w:b w:val="0"/>
                <w:sz w:val="17"/>
              </w:rPr>
              <w:t>로봇/컨베이어 상태, 오류 종류, 발생 시간, 조치 이력</w:t>
            </w:r>
          </w:p>
        </w:tc>
        <w:tc>
          <w:tcPr>
            <w:tcW w:w="3293" w:type="dxa"/>
          </w:tcPr>
          <w:p>
            <w:pPr>
              <w:spacing w:after="20"/>
            </w:pPr>
            <w:r>
              <w:rPr>
                <w:rFonts w:ascii="맑은 고딕" w:eastAsia="맑은 고딕" w:hAnsi="맑은 고딕"/>
                <w:b w:val="0"/>
                <w:sz w:val="17"/>
              </w:rPr>
              <w:t>고장 원인과 반복 패턴 확인</w:t>
            </w:r>
          </w:p>
        </w:tc>
      </w:tr>
      <w:tr>
        <w:tc>
          <w:tcPr>
            <w:tcW w:w="3293" w:type="dxa"/>
          </w:tcPr>
          <w:p>
            <w:pPr>
              <w:spacing w:after="20"/>
            </w:pPr>
            <w:r>
              <w:rPr>
                <w:rFonts w:ascii="맑은 고딕" w:eastAsia="맑은 고딕" w:hAnsi="맑은 고딕"/>
                <w:b w:val="0"/>
                <w:sz w:val="17"/>
              </w:rPr>
              <w:t>운영 분석</w:t>
            </w:r>
          </w:p>
        </w:tc>
        <w:tc>
          <w:tcPr>
            <w:tcW w:w="3293" w:type="dxa"/>
          </w:tcPr>
          <w:p>
            <w:pPr>
              <w:spacing w:after="20"/>
            </w:pPr>
            <w:r>
              <w:rPr>
                <w:rFonts w:ascii="맑은 고딕" w:eastAsia="맑은 고딕" w:hAnsi="맑은 고딕"/>
                <w:b w:val="0"/>
                <w:sz w:val="17"/>
              </w:rPr>
              <w:t>처리량·대기시간·지연·가상 에너지 비교 그래프</w:t>
            </w:r>
          </w:p>
        </w:tc>
        <w:tc>
          <w:tcPr>
            <w:tcW w:w="3293" w:type="dxa"/>
          </w:tcPr>
          <w:p>
            <w:pPr>
              <w:spacing w:after="20"/>
            </w:pPr>
            <w:r>
              <w:rPr>
                <w:rFonts w:ascii="맑은 고딕" w:eastAsia="맑은 고딕" w:hAnsi="맑은 고딕"/>
                <w:b w:val="0"/>
                <w:sz w:val="17"/>
              </w:rPr>
              <w:t>운영 모드의 효율 비교</w:t>
            </w:r>
          </w:p>
        </w:tc>
      </w:tr>
      <w:tr>
        <w:tc>
          <w:tcPr>
            <w:tcW w:w="3293" w:type="dxa"/>
          </w:tcPr>
          <w:p>
            <w:pPr>
              <w:spacing w:after="20"/>
            </w:pPr>
            <w:r>
              <w:rPr>
                <w:rFonts w:ascii="맑은 고딕" w:eastAsia="맑은 고딕" w:hAnsi="맑은 고딕"/>
                <w:b w:val="0"/>
                <w:sz w:val="17"/>
              </w:rPr>
              <w:t>AI 안내/보고서</w:t>
            </w:r>
          </w:p>
        </w:tc>
        <w:tc>
          <w:tcPr>
            <w:tcW w:w="3293" w:type="dxa"/>
          </w:tcPr>
          <w:p>
            <w:pPr>
              <w:spacing w:after="20"/>
            </w:pPr>
            <w:r>
              <w:rPr>
                <w:rFonts w:ascii="맑은 고딕" w:eastAsia="맑은 고딕" w:hAnsi="맑은 고딕"/>
                <w:b w:val="0"/>
                <w:sz w:val="17"/>
              </w:rPr>
              <w:t>오류 원인 후보, 권장 조치, 작업 요약</w:t>
            </w:r>
          </w:p>
        </w:tc>
        <w:tc>
          <w:tcPr>
            <w:tcW w:w="3293" w:type="dxa"/>
          </w:tcPr>
          <w:p>
            <w:pPr>
              <w:spacing w:after="20"/>
            </w:pPr>
            <w:r>
              <w:rPr>
                <w:rFonts w:ascii="맑은 고딕" w:eastAsia="맑은 고딕" w:hAnsi="맑은 고딕"/>
                <w:b w:val="0"/>
                <w:sz w:val="17"/>
              </w:rPr>
              <w:t>운영자 의사결정 지원</w:t>
            </w:r>
          </w:p>
        </w:tc>
      </w:tr>
    </w:tbl>
    <w:p>
      <w:pPr>
        <w:pStyle w:val="Heading1"/>
      </w:pPr>
      <w:r>
        <w:t>6. 구현 우선순위 및 개발 단계</w:t>
      </w:r>
    </w:p>
    <w:tbl>
      <w:tblPr>
        <w:tblStyle w:val="TableGrid"/>
        <w:tblW w:w="0" w:type="auto"/>
        <w:tblLook w:val="04A0" w:firstRow="1" w:lastRow="0" w:firstColumn="1" w:lastColumn="0" w:noHBand="0" w:noVBand="1"/>
      </w:tblPr>
      <w:tblGrid>
        <w:gridCol w:w="2469"/>
        <w:gridCol w:w="2469"/>
        <w:gridCol w:w="2469"/>
        <w:gridCol w:w="2469"/>
      </w:tblGrid>
      <w:tr>
        <w:tc>
          <w:tcPr>
            <w:tcW w:w="2469" w:type="dxa"/>
            <w:shd w:val="clear" w:color="auto" w:fill="1F4E79"/>
          </w:tcPr>
          <w:p>
            <w:pPr>
              <w:spacing w:after="20"/>
            </w:pPr>
            <w:r>
              <w:rPr>
                <w:rFonts w:ascii="맑은 고딕" w:eastAsia="맑은 고딕" w:hAnsi="맑은 고딕"/>
                <w:b/>
                <w:color w:val="FFFFFF"/>
                <w:sz w:val="18"/>
              </w:rPr>
              <w:t>단계</w:t>
            </w:r>
          </w:p>
        </w:tc>
        <w:tc>
          <w:tcPr>
            <w:tcW w:w="2469" w:type="dxa"/>
            <w:shd w:val="clear" w:color="auto" w:fill="1F4E79"/>
          </w:tcPr>
          <w:p>
            <w:pPr>
              <w:spacing w:after="20"/>
            </w:pPr>
            <w:r>
              <w:rPr>
                <w:rFonts w:ascii="맑은 고딕" w:eastAsia="맑은 고딕" w:hAnsi="맑은 고딕"/>
                <w:b/>
                <w:color w:val="FFFFFF"/>
                <w:sz w:val="18"/>
              </w:rPr>
              <w:t>구현 내용</w:t>
            </w:r>
          </w:p>
        </w:tc>
        <w:tc>
          <w:tcPr>
            <w:tcW w:w="2469" w:type="dxa"/>
            <w:shd w:val="clear" w:color="auto" w:fill="1F4E79"/>
          </w:tcPr>
          <w:p>
            <w:pPr>
              <w:spacing w:after="20"/>
            </w:pPr>
            <w:r>
              <w:rPr>
                <w:rFonts w:ascii="맑은 고딕" w:eastAsia="맑은 고딕" w:hAnsi="맑은 고딕"/>
                <w:b/>
                <w:color w:val="FFFFFF"/>
                <w:sz w:val="18"/>
              </w:rPr>
              <w:t>완료 기준</w:t>
            </w:r>
          </w:p>
        </w:tc>
        <w:tc>
          <w:tcPr>
            <w:tcW w:w="2469" w:type="dxa"/>
            <w:shd w:val="clear" w:color="auto" w:fill="1F4E79"/>
          </w:tcPr>
          <w:p>
            <w:pPr>
              <w:spacing w:after="20"/>
            </w:pPr>
            <w:r>
              <w:rPr>
                <w:rFonts w:ascii="맑은 고딕" w:eastAsia="맑은 고딕" w:hAnsi="맑은 고딕"/>
                <w:b/>
                <w:color w:val="FFFFFF"/>
                <w:sz w:val="18"/>
              </w:rPr>
              <w:t>우선도</w:t>
            </w:r>
          </w:p>
        </w:tc>
      </w:tr>
      <w:tr>
        <w:tc>
          <w:tcPr>
            <w:tcW w:w="2469" w:type="dxa"/>
          </w:tcPr>
          <w:p>
            <w:pPr>
              <w:spacing w:after="20"/>
            </w:pPr>
            <w:r>
              <w:rPr>
                <w:rFonts w:ascii="맑은 고딕" w:eastAsia="맑은 고딕" w:hAnsi="맑은 고딕"/>
                <w:b w:val="0"/>
                <w:sz w:val="16"/>
              </w:rPr>
              <w:t>1단계</w:t>
            </w:r>
          </w:p>
        </w:tc>
        <w:tc>
          <w:tcPr>
            <w:tcW w:w="2469" w:type="dxa"/>
          </w:tcPr>
          <w:p>
            <w:pPr>
              <w:spacing w:after="20"/>
            </w:pPr>
            <w:r>
              <w:rPr>
                <w:rFonts w:ascii="맑은 고딕" w:eastAsia="맑은 고딕" w:hAnsi="맑은 고딕"/>
                <w:b w:val="0"/>
                <w:sz w:val="16"/>
              </w:rPr>
              <w:t>택배 메타데이터 추가: ID, 목적지, 우선순위, 마감 시간</w:t>
            </w:r>
          </w:p>
        </w:tc>
        <w:tc>
          <w:tcPr>
            <w:tcW w:w="2469" w:type="dxa"/>
          </w:tcPr>
          <w:p>
            <w:pPr>
              <w:spacing w:after="20"/>
            </w:pPr>
            <w:r>
              <w:rPr>
                <w:rFonts w:ascii="맑은 고딕" w:eastAsia="맑은 고딕" w:hAnsi="맑은 고딕"/>
                <w:b w:val="0"/>
                <w:sz w:val="16"/>
              </w:rPr>
              <w:t>대기 목록에서 택배별 정보가 보임</w:t>
            </w:r>
          </w:p>
        </w:tc>
        <w:tc>
          <w:tcPr>
            <w:tcW w:w="2469" w:type="dxa"/>
          </w:tcPr>
          <w:p>
            <w:pPr>
              <w:spacing w:after="20"/>
            </w:pPr>
            <w:r>
              <w:rPr>
                <w:rFonts w:ascii="맑은 고딕" w:eastAsia="맑은 고딕" w:hAnsi="맑은 고딕"/>
                <w:b w:val="0"/>
                <w:sz w:val="16"/>
              </w:rPr>
              <w:t>필수</w:t>
            </w:r>
          </w:p>
        </w:tc>
      </w:tr>
      <w:tr>
        <w:tc>
          <w:tcPr>
            <w:tcW w:w="2469" w:type="dxa"/>
          </w:tcPr>
          <w:p>
            <w:pPr>
              <w:spacing w:after="20"/>
            </w:pPr>
            <w:r>
              <w:rPr>
                <w:rFonts w:ascii="맑은 고딕" w:eastAsia="맑은 고딕" w:hAnsi="맑은 고딕"/>
                <w:b w:val="0"/>
                <w:sz w:val="16"/>
              </w:rPr>
              <w:t>2단계</w:t>
            </w:r>
          </w:p>
        </w:tc>
        <w:tc>
          <w:tcPr>
            <w:tcW w:w="2469" w:type="dxa"/>
          </w:tcPr>
          <w:p>
            <w:pPr>
              <w:spacing w:after="20"/>
            </w:pPr>
            <w:r>
              <w:rPr>
                <w:rFonts w:ascii="맑은 고딕" w:eastAsia="맑은 고딕" w:hAnsi="맑은 고딕"/>
                <w:b w:val="0"/>
                <w:sz w:val="16"/>
              </w:rPr>
              <w:t>대시보드 상태 표시와 구역별 대기열 집계</w:t>
            </w:r>
          </w:p>
        </w:tc>
        <w:tc>
          <w:tcPr>
            <w:tcW w:w="2469" w:type="dxa"/>
          </w:tcPr>
          <w:p>
            <w:pPr>
              <w:spacing w:after="20"/>
            </w:pPr>
            <w:r>
              <w:rPr>
                <w:rFonts w:ascii="맑은 고딕" w:eastAsia="맑은 고딕" w:hAnsi="맑은 고딕"/>
                <w:b w:val="0"/>
                <w:sz w:val="16"/>
              </w:rPr>
              <w:t>혼잡 기준 초과 시 경고 발생</w:t>
            </w:r>
          </w:p>
        </w:tc>
        <w:tc>
          <w:tcPr>
            <w:tcW w:w="2469" w:type="dxa"/>
          </w:tcPr>
          <w:p>
            <w:pPr>
              <w:spacing w:after="20"/>
            </w:pPr>
            <w:r>
              <w:rPr>
                <w:rFonts w:ascii="맑은 고딕" w:eastAsia="맑은 고딕" w:hAnsi="맑은 고딕"/>
                <w:b w:val="0"/>
                <w:sz w:val="16"/>
              </w:rPr>
              <w:t>필수</w:t>
            </w:r>
          </w:p>
        </w:tc>
      </w:tr>
      <w:tr>
        <w:tc>
          <w:tcPr>
            <w:tcW w:w="2469" w:type="dxa"/>
          </w:tcPr>
          <w:p>
            <w:pPr>
              <w:spacing w:after="20"/>
            </w:pPr>
            <w:r>
              <w:rPr>
                <w:rFonts w:ascii="맑은 고딕" w:eastAsia="맑은 고딕" w:hAnsi="맑은 고딕"/>
                <w:b w:val="0"/>
                <w:sz w:val="16"/>
              </w:rPr>
              <w:t>3단계</w:t>
            </w:r>
          </w:p>
        </w:tc>
        <w:tc>
          <w:tcPr>
            <w:tcW w:w="2469" w:type="dxa"/>
          </w:tcPr>
          <w:p>
            <w:pPr>
              <w:spacing w:after="20"/>
            </w:pPr>
            <w:r>
              <w:rPr>
                <w:rFonts w:ascii="맑은 고딕" w:eastAsia="맑은 고딕" w:hAnsi="맑은 고딕"/>
                <w:b w:val="0"/>
                <w:sz w:val="16"/>
              </w:rPr>
              <w:t>오류 이벤트, 오류 로그, 재시도/작업자 확인 흐름</w:t>
            </w:r>
          </w:p>
        </w:tc>
        <w:tc>
          <w:tcPr>
            <w:tcW w:w="2469" w:type="dxa"/>
          </w:tcPr>
          <w:p>
            <w:pPr>
              <w:spacing w:after="20"/>
            </w:pPr>
            <w:r>
              <w:rPr>
                <w:rFonts w:ascii="맑은 고딕" w:eastAsia="맑은 고딕" w:hAnsi="맑은 고딕"/>
                <w:b w:val="0"/>
                <w:sz w:val="16"/>
              </w:rPr>
              <w:t>오류 종류별 안내가 표시되고 이력이 저장됨</w:t>
            </w:r>
          </w:p>
        </w:tc>
        <w:tc>
          <w:tcPr>
            <w:tcW w:w="2469" w:type="dxa"/>
          </w:tcPr>
          <w:p>
            <w:pPr>
              <w:spacing w:after="20"/>
            </w:pPr>
            <w:r>
              <w:rPr>
                <w:rFonts w:ascii="맑은 고딕" w:eastAsia="맑은 고딕" w:hAnsi="맑은 고딕"/>
                <w:b w:val="0"/>
                <w:sz w:val="16"/>
              </w:rPr>
              <w:t>필수</w:t>
            </w:r>
          </w:p>
        </w:tc>
      </w:tr>
      <w:tr>
        <w:tc>
          <w:tcPr>
            <w:tcW w:w="2469" w:type="dxa"/>
          </w:tcPr>
          <w:p>
            <w:pPr>
              <w:spacing w:after="20"/>
            </w:pPr>
            <w:r>
              <w:rPr>
                <w:rFonts w:ascii="맑은 고딕" w:eastAsia="맑은 고딕" w:hAnsi="맑은 고딕"/>
                <w:b w:val="0"/>
                <w:sz w:val="16"/>
              </w:rPr>
              <w:t>4단계</w:t>
            </w:r>
          </w:p>
        </w:tc>
        <w:tc>
          <w:tcPr>
            <w:tcW w:w="2469" w:type="dxa"/>
          </w:tcPr>
          <w:p>
            <w:pPr>
              <w:spacing w:after="20"/>
            </w:pPr>
            <w:r>
              <w:rPr>
                <w:rFonts w:ascii="맑은 고딕" w:eastAsia="맑은 고딕" w:hAnsi="맑은 고딕"/>
                <w:b w:val="0"/>
                <w:sz w:val="16"/>
              </w:rPr>
              <w:t>우선순위 재정렬과 지연 위험 계산</w:t>
            </w:r>
          </w:p>
        </w:tc>
        <w:tc>
          <w:tcPr>
            <w:tcW w:w="2469" w:type="dxa"/>
          </w:tcPr>
          <w:p>
            <w:pPr>
              <w:spacing w:after="20"/>
            </w:pPr>
            <w:r>
              <w:rPr>
                <w:rFonts w:ascii="맑은 고딕" w:eastAsia="맑은 고딕" w:hAnsi="맑은 고딕"/>
                <w:b w:val="0"/>
                <w:sz w:val="16"/>
              </w:rPr>
              <w:t>긴급 택배 순서 변경 및 지연 경고가 동작함</w:t>
            </w:r>
          </w:p>
        </w:tc>
        <w:tc>
          <w:tcPr>
            <w:tcW w:w="2469" w:type="dxa"/>
          </w:tcPr>
          <w:p>
            <w:pPr>
              <w:spacing w:after="20"/>
            </w:pPr>
            <w:r>
              <w:rPr>
                <w:rFonts w:ascii="맑은 고딕" w:eastAsia="맑은 고딕" w:hAnsi="맑은 고딕"/>
                <w:b w:val="0"/>
                <w:sz w:val="16"/>
              </w:rPr>
              <w:t>필수</w:t>
            </w:r>
          </w:p>
        </w:tc>
      </w:tr>
      <w:tr>
        <w:tc>
          <w:tcPr>
            <w:tcW w:w="2469" w:type="dxa"/>
          </w:tcPr>
          <w:p>
            <w:pPr>
              <w:spacing w:after="20"/>
            </w:pPr>
            <w:r>
              <w:rPr>
                <w:rFonts w:ascii="맑은 고딕" w:eastAsia="맑은 고딕" w:hAnsi="맑은 고딕"/>
                <w:b w:val="0"/>
                <w:sz w:val="16"/>
              </w:rPr>
              <w:t>5단계</w:t>
            </w:r>
          </w:p>
        </w:tc>
        <w:tc>
          <w:tcPr>
            <w:tcW w:w="2469" w:type="dxa"/>
          </w:tcPr>
          <w:p>
            <w:pPr>
              <w:spacing w:after="20"/>
            </w:pPr>
            <w:r>
              <w:rPr>
                <w:rFonts w:ascii="맑은 고딕" w:eastAsia="맑은 고딕" w:hAnsi="맑은 고딕"/>
                <w:b w:val="0"/>
                <w:sz w:val="16"/>
              </w:rPr>
              <w:t>운영 지표 집계 및 자동 보고서</w:t>
            </w:r>
          </w:p>
        </w:tc>
        <w:tc>
          <w:tcPr>
            <w:tcW w:w="2469" w:type="dxa"/>
          </w:tcPr>
          <w:p>
            <w:pPr>
              <w:spacing w:after="20"/>
            </w:pPr>
            <w:r>
              <w:rPr>
                <w:rFonts w:ascii="맑은 고딕" w:eastAsia="맑은 고딕" w:hAnsi="맑은 고딕"/>
                <w:b w:val="0"/>
                <w:sz w:val="16"/>
              </w:rPr>
              <w:t>시연 결과가 숫자와 요약 문장으로 출력됨</w:t>
            </w:r>
          </w:p>
        </w:tc>
        <w:tc>
          <w:tcPr>
            <w:tcW w:w="2469" w:type="dxa"/>
          </w:tcPr>
          <w:p>
            <w:pPr>
              <w:spacing w:after="20"/>
            </w:pPr>
            <w:r>
              <w:rPr>
                <w:rFonts w:ascii="맑은 고딕" w:eastAsia="맑은 고딕" w:hAnsi="맑은 고딕"/>
                <w:b w:val="0"/>
                <w:sz w:val="16"/>
              </w:rPr>
              <w:t>권장</w:t>
            </w:r>
          </w:p>
        </w:tc>
      </w:tr>
      <w:tr>
        <w:tc>
          <w:tcPr>
            <w:tcW w:w="2469" w:type="dxa"/>
          </w:tcPr>
          <w:p>
            <w:pPr>
              <w:spacing w:after="20"/>
            </w:pPr>
            <w:r>
              <w:rPr>
                <w:rFonts w:ascii="맑은 고딕" w:eastAsia="맑은 고딕" w:hAnsi="맑은 고딕"/>
                <w:b w:val="0"/>
                <w:sz w:val="16"/>
              </w:rPr>
              <w:t>6단계</w:t>
            </w:r>
          </w:p>
        </w:tc>
        <w:tc>
          <w:tcPr>
            <w:tcW w:w="2469" w:type="dxa"/>
          </w:tcPr>
          <w:p>
            <w:pPr>
              <w:spacing w:after="20"/>
            </w:pPr>
            <w:r>
              <w:rPr>
                <w:rFonts w:ascii="맑은 고딕" w:eastAsia="맑은 고딕" w:hAnsi="맑은 고딕"/>
                <w:b w:val="0"/>
                <w:sz w:val="16"/>
              </w:rPr>
              <w:t>LLM API 연동 및 가상 전력/온도 지표 추가</w:t>
            </w:r>
          </w:p>
        </w:tc>
        <w:tc>
          <w:tcPr>
            <w:tcW w:w="2469" w:type="dxa"/>
          </w:tcPr>
          <w:p>
            <w:pPr>
              <w:spacing w:after="20"/>
            </w:pPr>
            <w:r>
              <w:rPr>
                <w:rFonts w:ascii="맑은 고딕" w:eastAsia="맑은 고딕" w:hAnsi="맑은 고딕"/>
                <w:b w:val="0"/>
                <w:sz w:val="16"/>
              </w:rPr>
              <w:t>상태를 바탕으로 설명 생성, 운영 모드 비교</w:t>
            </w:r>
          </w:p>
        </w:tc>
        <w:tc>
          <w:tcPr>
            <w:tcW w:w="2469" w:type="dxa"/>
          </w:tcPr>
          <w:p>
            <w:pPr>
              <w:spacing w:after="20"/>
            </w:pPr>
            <w:r>
              <w:rPr>
                <w:rFonts w:ascii="맑은 고딕" w:eastAsia="맑은 고딕" w:hAnsi="맑은 고딕"/>
                <w:b w:val="0"/>
                <w:sz w:val="16"/>
              </w:rPr>
              <w:t>확장</w:t>
            </w:r>
          </w:p>
        </w:tc>
      </w:tr>
      <w:tr>
        <w:tc>
          <w:tcPr>
            <w:tcW w:w="2469" w:type="dxa"/>
          </w:tcPr>
          <w:p>
            <w:pPr>
              <w:spacing w:after="20"/>
            </w:pPr>
            <w:r>
              <w:rPr>
                <w:rFonts w:ascii="맑은 고딕" w:eastAsia="맑은 고딕" w:hAnsi="맑은 고딕"/>
                <w:b w:val="0"/>
                <w:sz w:val="16"/>
              </w:rPr>
              <w:t>7단계</w:t>
            </w:r>
          </w:p>
        </w:tc>
        <w:tc>
          <w:tcPr>
            <w:tcW w:w="2469" w:type="dxa"/>
          </w:tcPr>
          <w:p>
            <w:pPr>
              <w:spacing w:after="20"/>
            </w:pPr>
            <w:r>
              <w:rPr>
                <w:rFonts w:ascii="맑은 고딕" w:eastAsia="맑은 고딕" w:hAnsi="맑은 고딕"/>
                <w:b w:val="0"/>
                <w:sz w:val="16"/>
              </w:rPr>
              <w:t>실물 장비와 명령/상태 연동</w:t>
            </w:r>
          </w:p>
        </w:tc>
        <w:tc>
          <w:tcPr>
            <w:tcW w:w="2469" w:type="dxa"/>
          </w:tcPr>
          <w:p>
            <w:pPr>
              <w:spacing w:after="20"/>
            </w:pPr>
            <w:r>
              <w:rPr>
                <w:rFonts w:ascii="맑은 고딕" w:eastAsia="맑은 고딕" w:hAnsi="맑은 고딕"/>
                <w:b w:val="0"/>
                <w:sz w:val="16"/>
              </w:rPr>
              <w:t>검증된 제어 명령과 피드백을 제한적으로 연결</w:t>
            </w:r>
          </w:p>
        </w:tc>
        <w:tc>
          <w:tcPr>
            <w:tcW w:w="2469" w:type="dxa"/>
          </w:tcPr>
          <w:p>
            <w:pPr>
              <w:spacing w:after="20"/>
            </w:pPr>
            <w:r>
              <w:rPr>
                <w:rFonts w:ascii="맑은 고딕" w:eastAsia="맑은 고딕" w:hAnsi="맑은 고딕"/>
                <w:b w:val="0"/>
                <w:sz w:val="16"/>
              </w:rPr>
              <w:t>장비 확인 후</w:t>
            </w:r>
          </w:p>
        </w:tc>
      </w:tr>
    </w:tbl>
    <w:p>
      <w:pPr>
        <w:pStyle w:val="Heading1"/>
      </w:pPr>
      <w:r>
        <w:rPr>
          <w:lang w:eastAsia="ko-KR"/>
          <w:rtl w:val="off"/>
        </w:rPr>
        <w:t>7</w:t>
      </w:r>
      <w:r>
        <w:t>. 차별성 및 평가 지표</w:t>
      </w:r>
    </w:p>
    <w:p>
      <w:r>
        <w:t>본 프로젝트의 차별점은 단순히 택배를 분류하는 로봇팔 시연에 그치지 않고, 물류센터 전체 상황을 중앙관제에서 함께 판단한다는 점이다. 주문 우선순위, 구역별 혼잡, 장비 오류, 배송 지연, 운영 비용을 연결해 하나의 상황 변화가 전체 물류 흐름에 미치는 영향을 보여 준다. 또한 실물 장비는 핵심 동작에만 사용하고 나머지는 가상화해 비용을 줄이면서도 다양한 고장·혼잡 상황을 반복 시연할 수 있다.</w:t>
      </w:r>
    </w:p>
    <w:p>
      <w:pPr>
        <w:pStyle w:val="ListBullet"/>
        <w:spacing w:after="60"/>
      </w:pPr>
      <w:r>
        <w:t>분류 성능: 정상 분류율, 오분류 수, 인식 오류 수</w:t>
      </w:r>
    </w:p>
    <w:p>
      <w:pPr>
        <w:pStyle w:val="ListBullet"/>
        <w:spacing w:after="60"/>
      </w:pPr>
      <w:r>
        <w:t>물류 효율: 시간당 처리량, 평균 대기 시간, 마감 준수율, 지연 위험 건수</w:t>
      </w:r>
    </w:p>
    <w:p>
      <w:pPr>
        <w:pStyle w:val="ListBullet"/>
        <w:spacing w:after="60"/>
      </w:pPr>
      <w:r>
        <w:t>장비 안정성: 오류 감지 시간, 재시도 성공률, 장비 정지 시간, 반복 오류 수</w:t>
      </w:r>
    </w:p>
    <w:p>
      <w:pPr>
        <w:pStyle w:val="ListBullet"/>
        <w:spacing w:after="60"/>
      </w:pPr>
      <w:r>
        <w:t>운영 효율: 가상 에너지 사용량, 택배 1개당 가상 에너지, 운영 모드별 처리량</w:t>
      </w:r>
    </w:p>
    <w:p>
      <w:pPr>
        <w:pStyle w:val="ListBullet"/>
        <w:spacing w:after="60"/>
      </w:pPr>
      <w:r>
        <w:t>AI 지원 효과: 오류 안내의 구체성, 제안된 조치의 실행 여부, 보고서의 수치 일치 여부</w:t>
      </w:r>
    </w:p>
    <w:p>
      <w:pPr>
        <w:pStyle w:val="Heading1"/>
      </w:pPr>
      <w:r>
        <w:rPr>
          <w:lang w:eastAsia="ko-KR"/>
          <w:rtl w:val="off"/>
        </w:rPr>
        <w:t>8</w:t>
      </w:r>
      <w:r>
        <w:t>. 안전·구현상 유의사항</w:t>
      </w:r>
    </w:p>
    <w:p>
      <w:pPr>
        <w:pStyle w:val="ListBullet"/>
        <w:spacing w:after="60"/>
      </w:pPr>
      <w:r>
        <w:t>실물 로봇팔과 컨베이어의 자동 재시작은 초기 구현에서 제외한다. 오류가 발생하면 안전 정지 또는 명령 중지 상태를 유지하고, 사람이 확인한 뒤 재개하도록 설계한다.</w:t>
      </w:r>
    </w:p>
    <w:p>
      <w:pPr>
        <w:pStyle w:val="ListBullet"/>
        <w:spacing w:after="60"/>
      </w:pPr>
      <w:r>
        <w:t>Unity 안에서만 발생하는 가상 온도·전력·고장 값은 실제 센서 측정값과 구분해 “시뮬레이션 값”으로 표시한다.</w:t>
      </w:r>
    </w:p>
    <w:p>
      <w:pPr>
        <w:pStyle w:val="ListBullet"/>
        <w:spacing w:after="60"/>
      </w:pPr>
      <w:r>
        <w:t>LLM은 설명과 조치 추천에 사용하고, 검증되지 않은 자연어 응답을 실물 장비의 모터 명령으로 직접 변환하지 않는다.</w:t>
      </w:r>
    </w:p>
    <w:p>
      <w:pPr>
        <w:pStyle w:val="ListBullet"/>
        <w:spacing w:after="60"/>
      </w:pPr>
      <w:r>
        <w:t>실물 장비 연동 전에는 제어기 명령 형식, 통신 방식, 동작 범위, 비상 정지 방법을 확인한다. 통신이 끊기거나 상태 확인이 불가능하면 안전한 정지 상태를 우선한다.</w:t>
      </w:r>
    </w:p>
    <w:p>
      <w:pPr>
        <w:pStyle w:val="ListBullet"/>
        <w:spacing w:after="60"/>
      </w:pPr>
      <w:r>
        <w:t>현재 프로젝트의 LLM 클라이언트와 카메라 분류기가 실제 서비스로 연결되어 있는지는 별도 확인이 필요하다. 구현 초기에는 Mock/규칙 기반 로직으로 기능을 완성하고, API 연동은 이후 확장 단계로 둔다.</w:t>
      </w:r>
    </w:p>
    <w:p>
      <w:pPr>
        <w:pStyle w:val="Heading1"/>
      </w:pPr>
      <w:r>
        <w:rPr>
          <w:lang w:eastAsia="ko-KR"/>
          <w:rtl w:val="off"/>
        </w:rPr>
        <w:t>9</w:t>
      </w:r>
      <w:r>
        <w:t>. 최종 제안</w:t>
      </w:r>
    </w:p>
    <w:p>
      <w:r>
        <w:t>학기 프로젝트의 완성도를 고려하면 모든 기능을 한 번에 구현하기보다, 주문 우선순위 관리·혼잡 감지·오류 대응·지연 위험 예측·운영 보고서를 핵심 기능으로 선정하는 것이 적절하다. 이 기능들은 기존 분류 시뮬레이션에 비교적 자연스럽게 추가할 수 있고, 실제 장비를 늘리지 않아도 시연 상황을 만들 수 있다. 가상 전력과 온도 관리, 실시간 LLM 설명, 실물 장비의 양방향 제어는 시간이 남을 경우 확장 기능으로 추가한다.</w:t>
      </w:r>
    </w:p>
    <w:sectPr>
      <w:pgSz w:w="12240" w:h="15840"/>
      <w:pgMar w:top="1037" w:right="1181" w:bottom="1037" w:left="1181" w:header="720" w:footer="720" w:gutter="0"/>
      <w:cols w:space="720"/>
      <w:docGrid w:linePitch="360"/>
      <w:foot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7FFFFFFF" w:usb1="29D77CFB" w:usb2="00000012" w:usb3="00000001" w:csb0="00080001" w:csb1="00000001"/>
  </w:font>
  <w:font w:name="Courier">
    <w:charset w:val="00"/>
    <w:notTrueType w:val="false"/>
  </w:font>
  <w:font w:name="Symbol">
    <w:panose1 w:val="05050102010706020507"/>
    <w:family w:val="Symbol"/>
    <w:charset w:val="00"/>
    <w:notTrueType w:val="false"/>
    <w:sig w:usb0="00000001" w:usb1="00000001" w:usb2="00000001" w:usb3="00000001" w:csb0="7FFFFFFF"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rFonts w:ascii="맑은 고딕" w:eastAsia="맑은 고딕" w:hAnsi="맑은 고딕"/>
        <w:sz w:val="16"/>
      </w:rPr>
      <w:t xml:space="preserve">AI 물류센터 중앙관제 시스템 | 기능 정의 및 구현 계획서  ·  </w:t>
    </w:r>
    <w:r>
      <w:rPr>
        <w:rFonts w:ascii="맑은 고딕" w:eastAsia="맑은 고딕" w:hAnsi="맑은 고딕"/>
        <w:sz w:val="16"/>
      </w:rPr>
      <w:fldChar w:fldCharType="begin"/>
    </w:r>
    <w:r>
      <w:rPr>
        <w:rFonts w:ascii="맑은 고딕" w:eastAsia="맑은 고딕" w:hAnsi="맑은 고딕"/>
        <w:sz w:val="16"/>
      </w:rPr>
      <w:instrText>PAGE</w:instrText>
    </w:r>
    <w:r>
      <w:rPr>
        <w:rFonts w:ascii="맑은 고딕" w:eastAsia="맑은 고딕" w:hAnsi="맑은 고딕"/>
        <w:sz w:val="16"/>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3"/>
  </w:num>
  <w:num w:numId="3">
    <w:abstractNumId w:val="1"/>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pPr>
      <w:spacing w:after="100"/>
    </w:pPr>
    <w:rPr>
      <w:rFonts w:ascii="맑은 고딕" w:eastAsia="맑은 고딕" w:hAnsi="맑은 고딕"/>
      <w:sz w:val="20"/>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1F4E79"/>
      <w:sz w:val="32"/>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2E74B5"/>
      <w:sz w:val="24"/>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sz w:val="21"/>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8C8C8C"/>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8C8C8C"/>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b/>
      <w:color w:val="1F4E79"/>
      <w:sz w:val="50"/>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3"/>
      </w:numPr>
    </w:pPr>
  </w:style>
  <w:style w:type="paragraph" w:customStyle="1" w:styleId="ListBullet3">
    <w:name w:val="List Bullet 3"/>
    <w:uiPriority w:val="99"/>
    <w:basedOn w:val="Normal"/>
    <w:unhideWhenUsed/>
    <w:pPr>
      <w:contextualSpacing/>
      <w:numPr>
        <w:numId w:val="4"/>
      </w:numPr>
    </w:pPr>
  </w:style>
  <w:style w:type="paragraph" w:customStyle="1" w:styleId="ListNumber">
    <w:name w:val="List Number"/>
    <w:uiPriority w:val="99"/>
    <w:basedOn w:val="Normal"/>
    <w:unhideWhenUsed/>
    <w:pPr>
      <w:contextualSpacing/>
      <w:numPr>
        <w:numId w:val="2"/>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8C8C8C"/>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8C8C8C"/>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BDBDBD"/>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left w:val="nil"/>
          <w:right w:val="nil"/>
          <w:insideH w:val="nil"/>
          <w:insideV w:val="nil"/>
        </w:tcBorders>
        <w:shd w:val="clear" w:color="auto" w:fill="E1E1E1"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left w:val="nil"/>
          <w:right w:val="nil"/>
          <w:insideH w:val="nil"/>
          <w:insideV w:val="nil"/>
        </w:tcBorders>
        <w:shd w:val="clear" w:color="auto" w:fill="E4E8F1"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left w:val="nil"/>
          <w:right w:val="nil"/>
          <w:insideH w:val="nil"/>
          <w:insideV w:val="nil"/>
        </w:tcBorders>
        <w:shd w:val="clear" w:color="auto" w:fill="F1E4E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left w:val="nil"/>
          <w:right w:val="nil"/>
          <w:insideH w:val="nil"/>
          <w:insideV w:val="nil"/>
        </w:tcBorders>
        <w:shd w:val="clear" w:color="auto" w:fill="EBF0E4"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left w:val="nil"/>
          <w:right w:val="nil"/>
          <w:insideH w:val="nil"/>
          <w:insideV w:val="nil"/>
        </w:tcBorders>
        <w:shd w:val="clear" w:color="auto" w:fill="E8E5EC"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left w:val="nil"/>
          <w:right w:val="nil"/>
          <w:insideH w:val="nil"/>
          <w:insideV w:val="nil"/>
        </w:tcBorders>
        <w:shd w:val="clear" w:color="auto" w:fill="E3EEF3"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left w:val="nil"/>
          <w:right w:val="nil"/>
          <w:insideH w:val="nil"/>
          <w:insideV w:val="nil"/>
        </w:tcBorders>
        <w:shd w:val="clear" w:color="auto" w:fill="FDEBE3"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1E1E1"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1E1E1"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E4E8F1"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E4E8F1"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1E4E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1E4E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BF0E4"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BF0E4"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E8E5EC"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E8E5EC"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E3EEF3"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E3EEF3"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BE3"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BE3"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tcPr>
    </w:tblStylePr>
    <w:tblStylePr w:type="firstCol">
      <w:rPr>
        <w:b/>
        <w:bCs/>
      </w:rPr>
    </w:tblStylePr>
    <w:tblStylePr w:type="lastCol">
      <w:rPr>
        <w:b/>
        <w:bCs/>
      </w:rPr>
    </w:tblStylePr>
    <w:tblStylePr w:type="band1Vert">
      <w:tblPr/>
      <w:tcPr>
        <w:shd w:val="clear" w:color="auto" w:fill="E1E1E1" w:themeFill="text1" w:themeFillTint="3f"/>
      </w:tcPr>
    </w:tblStylePr>
    <w:tblStylePr w:type="band1Horz">
      <w:tblPr/>
      <w:tcPr>
        <w:tcBorders>
          <w:insideH w:val="nil"/>
          <w:insideV w:val="nil"/>
        </w:tcBorders>
        <w:shd w:val="clear" w:color="auto" w:fill="E1E1E1"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8F1" w:themeFill="accent1" w:themeFillTint="3f"/>
      </w:tcPr>
    </w:tblStylePr>
    <w:tblStylePr w:type="band1Horz">
      <w:tblPr/>
      <w:tcPr>
        <w:tcBorders>
          <w:insideH w:val="nil"/>
          <w:insideV w:val="nil"/>
        </w:tcBorders>
        <w:shd w:val="clear" w:color="auto" w:fill="E4E8F1"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E4E3" w:themeFill="accent2" w:themeFillTint="3f"/>
      </w:tcPr>
    </w:tblStylePr>
    <w:tblStylePr w:type="band1Horz">
      <w:tblPr/>
      <w:tcPr>
        <w:tcBorders>
          <w:insideH w:val="nil"/>
          <w:insideV w:val="nil"/>
        </w:tcBorders>
        <w:shd w:val="clear" w:color="auto" w:fill="F1E4E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F0E4" w:themeFill="accent3" w:themeFillTint="3f"/>
      </w:tcPr>
    </w:tblStylePr>
    <w:tblStylePr w:type="band1Horz">
      <w:tblPr/>
      <w:tcPr>
        <w:tcBorders>
          <w:insideH w:val="nil"/>
          <w:insideV w:val="nil"/>
        </w:tcBorders>
        <w:shd w:val="clear" w:color="auto" w:fill="EBF0E4"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tcPr>
    </w:tblStylePr>
    <w:tblStylePr w:type="firstCol">
      <w:rPr>
        <w:b/>
        <w:bCs/>
      </w:rPr>
    </w:tblStylePr>
    <w:tblStylePr w:type="lastCol">
      <w:rPr>
        <w:b/>
        <w:bCs/>
      </w:rPr>
    </w:tblStylePr>
    <w:tblStylePr w:type="band1Vert">
      <w:tblPr/>
      <w:tcPr>
        <w:shd w:val="clear" w:color="auto" w:fill="E8E5EC" w:themeFill="accent4" w:themeFillTint="3f"/>
      </w:tcPr>
    </w:tblStylePr>
    <w:tblStylePr w:type="band1Horz">
      <w:tblPr/>
      <w:tcPr>
        <w:tcBorders>
          <w:insideH w:val="nil"/>
          <w:insideV w:val="nil"/>
        </w:tcBorders>
        <w:shd w:val="clear" w:color="auto" w:fill="E8E5EC"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3EEF3" w:themeFill="accent5" w:themeFillTint="3f"/>
      </w:tcPr>
    </w:tblStylePr>
    <w:tblStylePr w:type="band1Horz">
      <w:tblPr/>
      <w:tcPr>
        <w:tcBorders>
          <w:insideH w:val="nil"/>
          <w:insideV w:val="nil"/>
        </w:tcBorders>
        <w:shd w:val="clear" w:color="auto" w:fill="E3EEF3"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BE3" w:themeFill="accent6" w:themeFillTint="3f"/>
      </w:tcPr>
    </w:tblStylePr>
    <w:tblStylePr w:type="band1Horz">
      <w:tblPr/>
      <w:tcPr>
        <w:tcBorders>
          <w:insideH w:val="nil"/>
          <w:insideV w:val="nil"/>
        </w:tcBorders>
        <w:shd w:val="clear" w:color="auto" w:fill="FDEBE3"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1E1E1" w:themeFill="text1" w:themeFillTint="3f"/>
      </w:tcPr>
    </w:tblStylePr>
    <w:tblStylePr w:type="band1Horz">
      <w:tblPr/>
      <w:tcPr>
        <w:shd w:val="clear" w:color="auto" w:fill="E1E1E1"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E4E8F1" w:themeFill="accent1" w:themeFillTint="3f"/>
      </w:tcPr>
    </w:tblStylePr>
    <w:tblStylePr w:type="band1Horz">
      <w:tblPr/>
      <w:tcPr>
        <w:shd w:val="clear" w:color="auto" w:fill="E4E8F1"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1E4E3" w:themeFill="accent2" w:themeFillTint="3f"/>
      </w:tcPr>
    </w:tblStylePr>
    <w:tblStylePr w:type="band1Horz">
      <w:tblPr/>
      <w:tcPr>
        <w:shd w:val="clear" w:color="auto" w:fill="F1E4E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BF0E4" w:themeFill="accent3" w:themeFillTint="3f"/>
      </w:tcPr>
    </w:tblStylePr>
    <w:tblStylePr w:type="band1Horz">
      <w:tblPr/>
      <w:tcPr>
        <w:shd w:val="clear" w:color="auto" w:fill="EBF0E4"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E8E5EC" w:themeFill="accent4" w:themeFillTint="3f"/>
      </w:tcPr>
    </w:tblStylePr>
    <w:tblStylePr w:type="band1Horz">
      <w:tblPr/>
      <w:tcPr>
        <w:shd w:val="clear" w:color="auto" w:fill="E8E5EC"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E3EEF3" w:themeFill="accent5" w:themeFillTint="3f"/>
      </w:tcPr>
    </w:tblStylePr>
    <w:tblStylePr w:type="band1Horz">
      <w:tblPr/>
      <w:tcPr>
        <w:shd w:val="clear" w:color="auto" w:fill="E3EEF3"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BE3" w:themeFill="accent6" w:themeFillTint="3f"/>
      </w:tcPr>
    </w:tblStylePr>
    <w:tblStylePr w:type="band1Horz">
      <w:tblPr/>
      <w:tcPr>
        <w:shd w:val="clear" w:color="auto" w:fill="FDEBE3"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top w:val="nil"/>
          <w:bottom w:val="nil"/>
          <w:insideH w:val="nil"/>
          <w:insideV w:val="nil"/>
        </w:tcBorders>
        <w:shd w:val="clear" w:color="auto" w:fill="E1E1E1"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top w:val="nil"/>
          <w:bottom w:val="nil"/>
          <w:insideH w:val="nil"/>
          <w:insideV w:val="nil"/>
        </w:tcBorders>
        <w:shd w:val="clear" w:color="auto" w:fill="E4E8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top w:val="nil"/>
          <w:bottom w:val="nil"/>
          <w:insideH w:val="nil"/>
          <w:insideV w:val="nil"/>
        </w:tcBorders>
        <w:shd w:val="clear" w:color="auto" w:fill="F1E4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top w:val="nil"/>
          <w:bottom w:val="nil"/>
          <w:insideH w:val="nil"/>
          <w:insideV w:val="nil"/>
        </w:tcBorders>
        <w:shd w:val="clear" w:color="auto" w:fill="EBF0E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top w:val="nil"/>
          <w:bottom w:val="nil"/>
          <w:insideH w:val="nil"/>
          <w:insideV w:val="nil"/>
        </w:tcBorders>
        <w:shd w:val="clear" w:color="auto" w:fill="E8E5EC"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top w:val="nil"/>
          <w:bottom w:val="nil"/>
          <w:insideH w:val="nil"/>
          <w:insideV w:val="nil"/>
        </w:tcBorders>
        <w:shd w:val="clear" w:color="auto" w:fill="E3EEF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top w:val="nil"/>
          <w:bottom w:val="nil"/>
          <w:insideH w:val="nil"/>
          <w:insideV w:val="nil"/>
        </w:tcBorders>
        <w:shd w:val="clear" w:color="auto" w:fill="FDEBE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insideV w:val="single" w:sz="8" w:space="0" w:color="8C8C8C" w:themeColor="text1" w:themeTint="bf"/>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rPr>
    </w:tblStylePr>
    <w:tblStylePr w:type="lastRow">
      <w:rPr>
        <w:b/>
        <w:bCs/>
      </w:rPr>
      <w:tblPr/>
      <w:tcPr>
        <w:tcBorders>
          <w:top w:val="single" w:sz="18" w:space="0" w:color="8C8C8C" w:themeColor="text1" w:themeTint="bf"/>
        </w:tcBorders>
      </w:tcPr>
    </w:tblStylePr>
    <w:tblStylePr w:type="firstCol">
      <w:rPr>
        <w:b/>
        <w:bCs/>
      </w:rPr>
    </w:tblStylePr>
    <w:tblStylePr w:type="lastCol">
      <w:rPr>
        <w:b/>
        <w:bCs/>
      </w:r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insideV w:val="single" w:sz="8" w:space="0" w:color="97ADD0" w:themeColor="accent1" w:themeTint="bf"/>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rPr>
    </w:tblStylePr>
    <w:tblStylePr w:type="lastRow">
      <w:rPr>
        <w:b/>
        <w:bCs/>
      </w:rPr>
      <w:tblPr/>
      <w:tcPr>
        <w:tcBorders>
          <w:top w:val="single" w:sz="18" w:space="0" w:color="97ADD0" w:themeColor="accent1" w:themeTint="bf"/>
        </w:tcBorders>
      </w:tcPr>
    </w:tblStylePr>
    <w:tblStylePr w:type="firstCol">
      <w:rPr>
        <w:b/>
        <w:bCs/>
      </w:rPr>
    </w:tblStylePr>
    <w:tblStylePr w:type="lastCol">
      <w:rPr>
        <w:b/>
        <w:bCs/>
      </w:r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insideV w:val="single" w:sz="8" w:space="0" w:color="D29897" w:themeColor="accent2" w:themeTint="bf"/>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rPr>
    </w:tblStylePr>
    <w:tblStylePr w:type="lastRow">
      <w:rPr>
        <w:b/>
        <w:bCs/>
      </w:rPr>
      <w:tblPr/>
      <w:tcPr>
        <w:tcBorders>
          <w:top w:val="single" w:sz="18" w:space="0" w:color="D29897" w:themeColor="accent2" w:themeTint="bf"/>
        </w:tcBorders>
      </w:tcPr>
    </w:tblStylePr>
    <w:tblStylePr w:type="firstCol">
      <w:rPr>
        <w:b/>
        <w:bCs/>
      </w:rPr>
    </w:tblStylePr>
    <w:tblStylePr w:type="lastCol">
      <w:rPr>
        <w:b/>
        <w:bCs/>
      </w:r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insideV w:val="single" w:sz="8" w:space="0" w:color="BBCF9B" w:themeColor="accent3" w:themeTint="bf"/>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rPr>
    </w:tblStylePr>
    <w:tblStylePr w:type="lastRow">
      <w:rPr>
        <w:b/>
        <w:bCs/>
      </w:rPr>
      <w:tblPr/>
      <w:tcPr>
        <w:tcBorders>
          <w:top w:val="single" w:sz="18" w:space="0" w:color="BBCF9B" w:themeColor="accent3" w:themeTint="bf"/>
        </w:tcBorders>
      </w:tcPr>
    </w:tblStylePr>
    <w:tblStylePr w:type="firstCol">
      <w:rPr>
        <w:b/>
        <w:bCs/>
      </w:rPr>
    </w:tblStylePr>
    <w:tblStylePr w:type="lastCol">
      <w:rPr>
        <w:b/>
        <w:bCs/>
      </w:r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insideV w:val="single" w:sz="8" w:space="0" w:color="AC9FBF" w:themeColor="accent4" w:themeTint="bf"/>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rPr>
    </w:tblStylePr>
    <w:tblStylePr w:type="lastRow">
      <w:rPr>
        <w:b/>
        <w:bCs/>
      </w:rPr>
      <w:tblPr/>
      <w:tcPr>
        <w:tcBorders>
          <w:top w:val="single" w:sz="18" w:space="0" w:color="AC9FBF" w:themeColor="accent4" w:themeTint="bf"/>
        </w:tcBorders>
      </w:tcPr>
    </w:tblStylePr>
    <w:tblStylePr w:type="firstCol">
      <w:rPr>
        <w:b/>
        <w:bCs/>
      </w:rPr>
    </w:tblStylePr>
    <w:tblStylePr w:type="lastCol">
      <w:rPr>
        <w:b/>
        <w:bCs/>
      </w:r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insideV w:val="single" w:sz="8" w:space="0" w:color="96C5D6" w:themeColor="accent5" w:themeTint="bf"/>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rPr>
    </w:tblStylePr>
    <w:tblStylePr w:type="lastRow">
      <w:rPr>
        <w:b/>
        <w:bCs/>
      </w:rPr>
      <w:tblPr/>
      <w:tcPr>
        <w:tcBorders>
          <w:top w:val="single" w:sz="18" w:space="0" w:color="96C5D6" w:themeColor="accent5" w:themeTint="bf"/>
        </w:tcBorders>
      </w:tcPr>
    </w:tblStylePr>
    <w:tblStylePr w:type="firstCol">
      <w:rPr>
        <w:b/>
        <w:bCs/>
      </w:rPr>
    </w:tblStylePr>
    <w:tblStylePr w:type="lastCol">
      <w:rPr>
        <w:b/>
        <w:bCs/>
      </w:r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insideV w:val="single" w:sz="8" w:space="0" w:color="F9B895" w:themeColor="accent6" w:themeTint="bf"/>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rPr>
    </w:tblStylePr>
    <w:tblStylePr w:type="lastRow">
      <w:rPr>
        <w:b/>
        <w:bCs/>
      </w:rPr>
      <w:tblPr/>
      <w:tcPr>
        <w:tcBorders>
          <w:top w:val="single" w:sz="18" w:space="0" w:color="F9B895" w:themeColor="accent6" w:themeTint="bf"/>
        </w:tcBorders>
      </w:tcPr>
    </w:tblStylePr>
    <w:tblStylePr w:type="firstCol">
      <w:rPr>
        <w:b/>
        <w:bCs/>
      </w:rPr>
    </w:tblStylePr>
    <w:tblStylePr w:type="lastCol">
      <w:rPr>
        <w:b/>
        <w:bCs/>
      </w:r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color w:val="000000"/>
      </w:rPr>
      <w:tblPr/>
      <w:tcPr>
        <w:shd w:val="clear" w:color="auto" w:fill="F4F4F4"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7E7E7" w:themeFill="text1" w:themeFillTint="33"/>
      </w:tcPr>
    </w:tblStylePr>
    <w:tblStylePr w:type="band1Vert">
      <w:tblPr/>
      <w:tcPr>
        <w:shd w:val="clear" w:color="auto" w:fill="BDBDBD" w:themeFill="text1" w:themeFillTint="7f"/>
      </w:tcPr>
    </w:tblStylePr>
    <w:tblStylePr w:type="band1Horz">
      <w:tblPr/>
      <w:tcPr>
        <w:tcBorders>
          <w:insideH w:val="single" w:sz="6" w:space="0" w:color="000000" w:themeColor="text1"/>
          <w:insideV w:val="single" w:sz="6" w:space="0" w:color="000000" w:themeColor="text1"/>
        </w:tcBorders>
        <w:shd w:val="clear" w:color="auto" w:fill="BDBDBD"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color w:val="000000"/>
      </w:rPr>
      <w:tblPr/>
      <w:tcPr>
        <w:shd w:val="clear" w:color="auto" w:fill="F5F6FA"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EDF4" w:themeFill="accent1" w:themeFillTint="33"/>
      </w:tcPr>
    </w:tblStylePr>
    <w:tblStylePr w:type="band1Vert">
      <w:tblPr/>
      <w:tcPr>
        <w:shd w:val="clear" w:color="auto" w:fill="C2CDE1" w:themeFill="accent1" w:themeFillTint="7f"/>
      </w:tcPr>
    </w:tblStylePr>
    <w:tblStylePr w:type="band1Horz">
      <w:tblPr/>
      <w:tcPr>
        <w:tcBorders>
          <w:insideH w:val="single" w:sz="6" w:space="0" w:color="4F81BD" w:themeColor="accent1"/>
          <w:insideV w:val="single" w:sz="6" w:space="0" w:color="4F81BD" w:themeColor="accent1"/>
        </w:tcBorders>
        <w:shd w:val="clear" w:color="auto" w:fill="C2CDE1"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color w:val="000000"/>
      </w:rPr>
      <w:tblPr/>
      <w:tcPr>
        <w:shd w:val="clear" w:color="auto" w:fill="FAF5F5"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4E9E9" w:themeFill="accent2" w:themeFillTint="33"/>
      </w:tcPr>
    </w:tblStylePr>
    <w:tblStylePr w:type="band1Vert">
      <w:tblPr/>
      <w:tcPr>
        <w:shd w:val="clear" w:color="auto" w:fill="E2C3C2" w:themeFill="accent2" w:themeFillTint="7f"/>
      </w:tcPr>
    </w:tblStylePr>
    <w:tblStylePr w:type="band1Horz">
      <w:tblPr/>
      <w:tcPr>
        <w:tcBorders>
          <w:insideH w:val="single" w:sz="6" w:space="0" w:color="C0504D" w:themeColor="accent2"/>
          <w:insideV w:val="single" w:sz="6" w:space="0" w:color="C0504D" w:themeColor="accent2"/>
        </w:tcBorders>
        <w:shd w:val="clear" w:color="auto" w:fill="E2C3C2"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color w:val="000000"/>
      </w:rPr>
      <w:tblPr/>
      <w:tcPr>
        <w:shd w:val="clear" w:color="auto" w:fill="F7F9F5"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F3EA" w:themeFill="accent3" w:themeFillTint="33"/>
      </w:tcPr>
    </w:tblStylePr>
    <w:tblStylePr w:type="band1Vert">
      <w:tblPr/>
      <w:tcPr>
        <w:shd w:val="clear" w:color="auto" w:fill="D5E0C4" w:themeFill="accent3" w:themeFillTint="7f"/>
      </w:tcPr>
    </w:tblStylePr>
    <w:tblStylePr w:type="band1Horz">
      <w:tblPr/>
      <w:tcPr>
        <w:tcBorders>
          <w:insideH w:val="single" w:sz="6" w:space="0" w:color="9BBB59" w:themeColor="accent3"/>
          <w:insideV w:val="single" w:sz="6" w:space="0" w:color="9BBB59" w:themeColor="accent3"/>
        </w:tcBorders>
        <w:shd w:val="clear" w:color="auto" w:fill="D5E0C4"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color w:val="000000"/>
      </w:rPr>
      <w:tblPr/>
      <w:tcPr>
        <w:shd w:val="clear" w:color="auto" w:fill="F6F5F8"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DEAF0" w:themeFill="accent4" w:themeFillTint="33"/>
      </w:tcPr>
    </w:tblStylePr>
    <w:tblStylePr w:type="band1Vert">
      <w:tblPr/>
      <w:tcPr>
        <w:shd w:val="clear" w:color="auto" w:fill="CDC6D7" w:themeFill="accent4" w:themeFillTint="7f"/>
      </w:tcPr>
    </w:tblStylePr>
    <w:tblStylePr w:type="band1Horz">
      <w:tblPr/>
      <w:tcPr>
        <w:tcBorders>
          <w:insideH w:val="single" w:sz="6" w:space="0" w:color="8064A2" w:themeColor="accent4"/>
          <w:insideV w:val="single" w:sz="6" w:space="0" w:color="8064A2" w:themeColor="accent4"/>
        </w:tcBorders>
        <w:shd w:val="clear" w:color="auto" w:fill="CDC6D7"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color w:val="000000"/>
      </w:rPr>
      <w:tblPr/>
      <w:tcPr>
        <w:shd w:val="clear" w:color="auto" w:fill="F5F8FA"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F1F5" w:themeFill="accent5" w:themeFillTint="33"/>
      </w:tcPr>
    </w:tblStylePr>
    <w:tblStylePr w:type="band1Vert">
      <w:tblPr/>
      <w:tcPr>
        <w:shd w:val="clear" w:color="auto" w:fill="C2DBE5" w:themeFill="accent5" w:themeFillTint="7f"/>
      </w:tcPr>
    </w:tblStylePr>
    <w:tblStylePr w:type="band1Horz">
      <w:tblPr/>
      <w:tcPr>
        <w:tcBorders>
          <w:insideH w:val="single" w:sz="6" w:space="0" w:color="4BACC6" w:themeColor="accent5"/>
          <w:insideV w:val="single" w:sz="6" w:space="0" w:color="4BACC6" w:themeColor="accent5"/>
        </w:tcBorders>
        <w:shd w:val="clear" w:color="auto" w:fill="C2DBE5"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color w:val="000000"/>
      </w:rPr>
      <w:tblPr/>
      <w:tcPr>
        <w:shd w:val="clear" w:color="auto" w:fill="FEF7F4"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FE9" w:themeFill="accent6" w:themeFillTint="33"/>
      </w:tcPr>
    </w:tblStylePr>
    <w:tblStylePr w:type="band1Vert">
      <w:tblPr/>
      <w:tcPr>
        <w:shd w:val="clear" w:color="auto" w:fill="FBD3C1" w:themeFill="accent6" w:themeFillTint="7f"/>
      </w:tcPr>
    </w:tblStylePr>
    <w:tblStylePr w:type="band1Horz">
      <w:tblPr/>
      <w:tcPr>
        <w:tcBorders>
          <w:insideH w:val="single" w:sz="6" w:space="0" w:color="F79646" w:themeColor="accent6"/>
          <w:insideV w:val="single" w:sz="6" w:space="0" w:color="F79646" w:themeColor="accent6"/>
        </w:tcBorders>
        <w:shd w:val="clear" w:color="auto" w:fill="FBD3C1"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BDBD"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BDBD"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CD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CDE1"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2C3C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2C3C2"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E0C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E0C4"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C6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C6D7"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DBE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DBE5"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D3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D3C1"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CCCCCC" w:themeFill="text1" w:themeFillTint="66"/>
      </w:tcPr>
    </w:tblStylePr>
    <w:tblStylePr w:type="band1Horz">
      <w:tblPr/>
      <w:tcPr>
        <w:shd w:val="clear" w:color="auto" w:fill="BDBDBD"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D0D8E8" w:themeFill="accent1" w:themeFillTint="66"/>
      </w:tcPr>
    </w:tblStylePr>
    <w:tblStylePr w:type="band1Horz">
      <w:tblPr/>
      <w:tcPr>
        <w:shd w:val="clear" w:color="auto" w:fill="C2CDE1"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8D0D0" w:themeFill="accent2" w:themeFillTint="66"/>
      </w:tcPr>
    </w:tblStylePr>
    <w:tblStylePr w:type="band1Horz">
      <w:tblPr/>
      <w:tcPr>
        <w:shd w:val="clear" w:color="auto" w:fill="E2C3C2"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EE7D1" w:themeFill="accent3" w:themeFillTint="66"/>
      </w:tcPr>
    </w:tblStylePr>
    <w:tblStylePr w:type="band1Horz">
      <w:tblPr/>
      <w:tcPr>
        <w:shd w:val="clear" w:color="auto" w:fill="D5E0C4"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D8D3E0" w:themeFill="accent4" w:themeFillTint="66"/>
      </w:tcPr>
    </w:tblStylePr>
    <w:tblStylePr w:type="band1Horz">
      <w:tblPr/>
      <w:tcPr>
        <w:shd w:val="clear" w:color="auto" w:fill="CDC6D7"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D0E3EA" w:themeFill="accent5" w:themeFillTint="66"/>
      </w:tcPr>
    </w:tblStylePr>
    <w:tblStylePr w:type="band1Horz">
      <w:tblPr/>
      <w:tcPr>
        <w:shd w:val="clear" w:color="auto" w:fill="C2DBE5"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CDDCF" w:themeFill="accent6" w:themeFillTint="66"/>
      </w:tcPr>
    </w:tblStylePr>
    <w:tblStylePr w:type="band1Horz">
      <w:tblPr/>
      <w:tcPr>
        <w:shd w:val="clear" w:color="auto" w:fill="FBD3C1"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1E1" w:themeFill="text1" w:themeFillTint="3f"/>
      </w:tcPr>
    </w:tblStylePr>
    <w:tblStylePr w:type="band1Horz">
      <w:tblPr/>
      <w:tcPr>
        <w:shd w:val="clear" w:color="auto" w:fill="E7E7E7"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8F1" w:themeFill="accent1" w:themeFillTint="3f"/>
      </w:tcPr>
    </w:tblStylePr>
    <w:tblStylePr w:type="band1Horz">
      <w:tblPr/>
      <w:tcPr>
        <w:shd w:val="clear" w:color="auto" w:fill="E9EDF4"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4E3" w:themeFill="accent2" w:themeFillTint="3f"/>
      </w:tcPr>
    </w:tblStylePr>
    <w:tblStylePr w:type="band1Horz">
      <w:tblPr/>
      <w:tcPr>
        <w:shd w:val="clear" w:color="auto" w:fill="F4E9E9"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F0E4" w:themeFill="accent3" w:themeFillTint="3f"/>
      </w:tcPr>
    </w:tblStylePr>
    <w:tblStylePr w:type="band1Horz">
      <w:tblPr/>
      <w:tcPr>
        <w:shd w:val="clear" w:color="auto" w:fill="EFF3EA"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5EC" w:themeFill="accent4" w:themeFillTint="3f"/>
      </w:tcPr>
    </w:tblStylePr>
    <w:tblStylePr w:type="band1Horz">
      <w:tblPr/>
      <w:tcPr>
        <w:shd w:val="clear" w:color="auto" w:fill="EDEAF0"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EEF3" w:themeFill="accent5" w:themeFillTint="3f"/>
      </w:tcPr>
    </w:tblStylePr>
    <w:tblStylePr w:type="band1Horz">
      <w:tblPr/>
      <w:tcPr>
        <w:shd w:val="clear" w:color="auto" w:fill="E9F1F5"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BE3" w:themeFill="accent6" w:themeFillTint="3f"/>
      </w:tcPr>
    </w:tblStylePr>
    <w:tblStylePr w:type="band1Horz">
      <w:tblPr/>
      <w:tcPr>
        <w:shd w:val="clear" w:color="auto" w:fill="FDEFE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7E7E7" w:themeFill="text1" w:themeFillTint="33"/>
    </w:tcPr>
    <w:tblStylePr w:type="firstRow">
      <w:rPr>
        <w:b/>
        <w:bCs/>
      </w:rPr>
      <w:tblPr/>
      <w:tcPr>
        <w:shd w:val="clear" w:color="auto" w:fill="CCCCCC" w:themeFill="text1" w:themeFillTint="66"/>
      </w:tcPr>
    </w:tblStylePr>
    <w:tblStylePr w:type="lastRow">
      <w:rPr>
        <w:b/>
        <w:bCs/>
        <w:color w:val="000000"/>
      </w:rPr>
      <w:tblPr/>
      <w:tcPr>
        <w:shd w:val="clear" w:color="auto" w:fill="CCCCCC"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EDF4" w:themeFill="accent1" w:themeFillTint="33"/>
    </w:tcPr>
    <w:tblStylePr w:type="firstRow">
      <w:rPr>
        <w:b/>
        <w:bCs/>
      </w:rPr>
      <w:tblPr/>
      <w:tcPr>
        <w:shd w:val="clear" w:color="auto" w:fill="D0D8E8" w:themeFill="accent1" w:themeFillTint="66"/>
      </w:tcPr>
    </w:tblStylePr>
    <w:tblStylePr w:type="lastRow">
      <w:rPr>
        <w:b/>
        <w:bCs/>
        <w:color w:val="000000"/>
      </w:rPr>
      <w:tblPr/>
      <w:tcPr>
        <w:shd w:val="clear" w:color="auto" w:fill="D0D8E8"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4E9E9" w:themeFill="accent2" w:themeFillTint="33"/>
    </w:tcPr>
    <w:tblStylePr w:type="firstRow">
      <w:rPr>
        <w:b/>
        <w:bCs/>
      </w:rPr>
      <w:tblPr/>
      <w:tcPr>
        <w:shd w:val="clear" w:color="auto" w:fill="E8D0D0" w:themeFill="accent2" w:themeFillTint="66"/>
      </w:tcPr>
    </w:tblStylePr>
    <w:tblStylePr w:type="lastRow">
      <w:rPr>
        <w:b/>
        <w:bCs/>
        <w:color w:val="000000"/>
      </w:rPr>
      <w:tblPr/>
      <w:tcPr>
        <w:shd w:val="clear" w:color="auto" w:fill="E8D0D0"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FF3EA" w:themeFill="accent3" w:themeFillTint="33"/>
    </w:tcPr>
    <w:tblStylePr w:type="firstRow">
      <w:rPr>
        <w:b/>
        <w:bCs/>
      </w:rPr>
      <w:tblPr/>
      <w:tcPr>
        <w:shd w:val="clear" w:color="auto" w:fill="DEE7D1" w:themeFill="accent3" w:themeFillTint="66"/>
      </w:tcPr>
    </w:tblStylePr>
    <w:tblStylePr w:type="lastRow">
      <w:rPr>
        <w:b/>
        <w:bCs/>
        <w:color w:val="000000"/>
      </w:rPr>
      <w:tblPr/>
      <w:tcPr>
        <w:shd w:val="clear" w:color="auto" w:fill="DEE7D1"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DEAF0" w:themeFill="accent4" w:themeFillTint="33"/>
    </w:tcPr>
    <w:tblStylePr w:type="firstRow">
      <w:rPr>
        <w:b/>
        <w:bCs/>
      </w:rPr>
      <w:tblPr/>
      <w:tcPr>
        <w:shd w:val="clear" w:color="auto" w:fill="D8D3E0" w:themeFill="accent4" w:themeFillTint="66"/>
      </w:tcPr>
    </w:tblStylePr>
    <w:tblStylePr w:type="lastRow">
      <w:rPr>
        <w:b/>
        <w:bCs/>
        <w:color w:val="000000"/>
      </w:rPr>
      <w:tblPr/>
      <w:tcPr>
        <w:shd w:val="clear" w:color="auto" w:fill="D8D3E0"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F1F5" w:themeFill="accent5" w:themeFillTint="33"/>
    </w:tcPr>
    <w:tblStylePr w:type="firstRow">
      <w:rPr>
        <w:b/>
        <w:bCs/>
      </w:rPr>
      <w:tblPr/>
      <w:tcPr>
        <w:shd w:val="clear" w:color="auto" w:fill="D0E3EA" w:themeFill="accent5" w:themeFillTint="66"/>
      </w:tcPr>
    </w:tblStylePr>
    <w:tblStylePr w:type="lastRow">
      <w:rPr>
        <w:b/>
        <w:bCs/>
        <w:color w:val="000000"/>
      </w:rPr>
      <w:tblPr/>
      <w:tcPr>
        <w:shd w:val="clear" w:color="auto" w:fill="D0E3EA"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FE9" w:themeFill="accent6" w:themeFillTint="33"/>
    </w:tcPr>
    <w:tblStylePr w:type="firstRow">
      <w:rPr>
        <w:b/>
        <w:bCs/>
      </w:rPr>
      <w:tblPr/>
      <w:tcPr>
        <w:shd w:val="clear" w:color="auto" w:fill="FCDDCF" w:themeFill="accent6" w:themeFillTint="66"/>
      </w:tcPr>
    </w:tblStylePr>
    <w:tblStylePr w:type="lastRow">
      <w:rPr>
        <w:b/>
        <w:bCs/>
        <w:color w:val="000000"/>
      </w:rPr>
      <w:tblPr/>
      <w:tcPr>
        <w:shd w:val="clear" w:color="auto" w:fill="FCDDCF"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AIGame</cp:lastModifiedBy>
  <cp:revision>1</cp:revision>
  <dcterms:created xsi:type="dcterms:W3CDTF">2013-12-23T23:15:00Z</dcterms:created>
  <dcterms:modified xsi:type="dcterms:W3CDTF">2026-10-13T09:37:29Z</dcterms:modified>
  <cp:version>1300.0100.01</cp:version>
</cp:coreProperties>
</file>