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89D1" w14:textId="77777777" w:rsidR="00730217" w:rsidRDefault="00730217">
      <w:r>
        <w:t>PLM Concept Deck — Sample Outline (10 slides)</w:t>
      </w:r>
    </w:p>
    <w:p w14:paraId="1945E165" w14:textId="77777777" w:rsidR="00730217" w:rsidRDefault="00730217" w:rsidP="00730217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 xml:space="preserve">Title: Digital Thread Readiness for Shipbuilding — Concept Deck  </w:t>
      </w:r>
    </w:p>
    <w:p w14:paraId="6655CE9D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Audience: Engineering director, IT/PLM sponsor, program manager  </w:t>
      </w:r>
    </w:p>
    <w:p w14:paraId="47D9BED5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Prepared by: Joonha Lee — PLM &amp; Digital Thread Planning Support  </w:t>
      </w:r>
    </w:p>
    <w:p w14:paraId="0CC1B5CC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Date: 2026-07-09  </w:t>
      </w:r>
    </w:p>
    <w:p w14:paraId="75B51279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Note: Portfolio outline; full visual deck built via `plm-slide-builder` skill and PowerPoint COM.</w:t>
      </w:r>
    </w:p>
    <w:p w14:paraId="1CF7663A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Slide 1 — Title</w:t>
      </w:r>
    </w:p>
    <w:p w14:paraId="223A1DC2" w14:textId="77777777" w:rsidR="00730217" w:rsidRDefault="00730217" w:rsidP="00730217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 xml:space="preserve">Digital Thread Readiness for Shipbuilding  </w:t>
      </w:r>
    </w:p>
    <w:p w14:paraId="1B6B615A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From design release to production and class evidence  </w:t>
      </w:r>
    </w:p>
    <w:p w14:paraId="058E8C8C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Prepared for: [Anonymized shipyard]  </w:t>
      </w:r>
    </w:p>
    <w:p w14:paraId="02415BA2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Joonha Lee | PLM &amp; System Integration</w:t>
      </w:r>
    </w:p>
    <w:p w14:paraId="5FD3054D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Slide 2 — Executive thesis</w:t>
      </w:r>
    </w:p>
    <w:p w14:paraId="544D9EE8" w14:textId="77777777" w:rsidR="00730217" w:rsidRDefault="00730217" w:rsidP="00730217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- Shipyards lose schedule and rework cost when engineering data, change impact, and evidence are fragmented.</w:t>
      </w:r>
    </w:p>
    <w:p w14:paraId="6DB9674F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- A governed digital thread connects authoring tools, PLM objects, change control, and verification artifacts.</w:t>
      </w:r>
    </w:p>
    <w:p w14:paraId="03794DF6" w14:textId="77777777" w:rsidR="00730217" w:rsidRDefault="00730217" w:rsidP="00730217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- Goal: one traceable path from requirement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design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release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manufacturing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evidence.</w:t>
      </w:r>
    </w:p>
    <w:p w14:paraId="140F24D9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Slide 3 — Current state (typical pain)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30217" w14:paraId="13C389E4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442B2043" w14:textId="4E4F876B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Area</w:t>
            </w:r>
          </w:p>
        </w:tc>
        <w:tc>
          <w:tcPr>
            <w:tcW w:w="3009" w:type="dxa"/>
            <w:vAlign w:val="center"/>
          </w:tcPr>
          <w:p w14:paraId="458171BF" w14:textId="5C0AF594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Symptom</w:t>
            </w:r>
          </w:p>
        </w:tc>
        <w:tc>
          <w:tcPr>
            <w:tcW w:w="3009" w:type="dxa"/>
            <w:vAlign w:val="center"/>
          </w:tcPr>
          <w:p w14:paraId="11F58A33" w14:textId="2B7C0336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Business impact</w:t>
            </w:r>
          </w:p>
        </w:tc>
      </w:tr>
      <w:tr w:rsidR="00730217" w14:paraId="3ED3AABE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4F8DAE9E" w14:textId="4F93FD4B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BOM / configuration</w:t>
            </w:r>
          </w:p>
        </w:tc>
        <w:tc>
          <w:tcPr>
            <w:tcW w:w="3009" w:type="dxa"/>
            <w:vAlign w:val="center"/>
          </w:tcPr>
          <w:p w14:paraId="0970C57C" w14:textId="7B68F571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Multiple Excel sources</w:t>
            </w:r>
          </w:p>
        </w:tc>
        <w:tc>
          <w:tcPr>
            <w:tcW w:w="3009" w:type="dxa"/>
            <w:vAlign w:val="center"/>
          </w:tcPr>
          <w:p w14:paraId="4654D09B" w14:textId="049CF008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Wrong material to block</w:t>
            </w:r>
          </w:p>
        </w:tc>
      </w:tr>
      <w:tr w:rsidR="00730217" w14:paraId="0132A432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594A0C18" w14:textId="13B11FAD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Change control</w:t>
            </w:r>
          </w:p>
        </w:tc>
        <w:tc>
          <w:tcPr>
            <w:tcW w:w="3009" w:type="dxa"/>
            <w:vAlign w:val="center"/>
          </w:tcPr>
          <w:p w14:paraId="08BEE318" w14:textId="0D18EF3E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Email + offline redlines</w:t>
            </w:r>
          </w:p>
        </w:tc>
        <w:tc>
          <w:tcPr>
            <w:tcW w:w="3009" w:type="dxa"/>
            <w:vAlign w:val="center"/>
          </w:tcPr>
          <w:p w14:paraId="1E1AB230" w14:textId="109EC444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Late impact discovery</w:t>
            </w:r>
          </w:p>
        </w:tc>
      </w:tr>
      <w:tr w:rsidR="00730217" w14:paraId="10834AAF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0ED1D3F4" w14:textId="35DC14A8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Drawings</w:t>
            </w:r>
          </w:p>
        </w:tc>
        <w:tc>
          <w:tcPr>
            <w:tcW w:w="3009" w:type="dxa"/>
            <w:vAlign w:val="center"/>
          </w:tcPr>
          <w:p w14:paraId="22BCFD8D" w14:textId="57115476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CAD vault vs PLM mismatch</w:t>
            </w:r>
          </w:p>
        </w:tc>
        <w:tc>
          <w:tcPr>
            <w:tcW w:w="3009" w:type="dxa"/>
            <w:vAlign w:val="center"/>
          </w:tcPr>
          <w:p w14:paraId="4757DB42" w14:textId="4EE20E21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Rework at production</w:t>
            </w:r>
          </w:p>
        </w:tc>
      </w:tr>
      <w:tr w:rsidR="00730217" w14:paraId="0ECC4A6A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17D4D353" w14:textId="5144EAF8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Evidence</w:t>
            </w:r>
          </w:p>
        </w:tc>
        <w:tc>
          <w:tcPr>
            <w:tcW w:w="3009" w:type="dxa"/>
            <w:vAlign w:val="center"/>
          </w:tcPr>
          <w:p w14:paraId="5ABBD006" w14:textId="5BF703E9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Scattered PDFs</w:t>
            </w:r>
          </w:p>
        </w:tc>
        <w:tc>
          <w:tcPr>
            <w:tcW w:w="3009" w:type="dxa"/>
            <w:vAlign w:val="center"/>
          </w:tcPr>
          <w:p w14:paraId="72284AD9" w14:textId="2E5DD6FD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Class / audit risk</w:t>
            </w:r>
          </w:p>
        </w:tc>
      </w:tr>
    </w:tbl>
    <w:p w14:paraId="5D939BCB" w14:textId="77777777" w:rsidR="00730217" w:rsidRDefault="00730217" w:rsidP="00730217">
      <w:pPr>
        <w:rPr>
          <w:rFonts w:ascii="Calibri" w:hAnsi="Calibri" w:cs="Calibri"/>
          <w:b/>
          <w:sz w:val="26"/>
        </w:rPr>
      </w:pPr>
    </w:p>
    <w:p w14:paraId="7E10E8CA" w14:textId="77777777" w:rsidR="00730217" w:rsidRDefault="00730217" w:rsidP="00730217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Slide 4 — Target operating model</w:t>
      </w:r>
    </w:p>
    <w:p w14:paraId="73E1452A" w14:textId="77777777" w:rsidR="00730217" w:rsidRDefault="00730217" w:rsidP="00730217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 xml:space="preserve">- Authoring: AVEVA E3D/Marine/Draw on Windows workstations  </w:t>
      </w:r>
    </w:p>
    <w:p w14:paraId="114FF7DE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- Control plane: API-based PLM (objects, structures, ECR/ECO, approvals) on Linux cluster  </w:t>
      </w:r>
    </w:p>
    <w:p w14:paraId="379345FB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- Bridge: Local Agent / Plugin callbacks — not direct CAD-on-Linux  </w:t>
      </w:r>
    </w:p>
    <w:p w14:paraId="4E15A897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- Cloud: CONNECT for intelligence and optional AI assistant (governed)</w:t>
      </w:r>
    </w:p>
    <w:p w14:paraId="5E2FE3D8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Slide 5 — Digital thread data objects</w:t>
      </w:r>
    </w:p>
    <w:p w14:paraId="5F2DF707" w14:textId="77777777" w:rsidR="00730217" w:rsidRDefault="00730217" w:rsidP="00730217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```</w:t>
      </w:r>
    </w:p>
    <w:p w14:paraId="775E48FD" w14:textId="77777777" w:rsidR="00730217" w:rsidRDefault="00730217" w:rsidP="00730217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Requirement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Design object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E-BOM/MTO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Baseline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ECR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ECO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M-BOM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Evidence pack</w:t>
      </w:r>
    </w:p>
    <w:p w14:paraId="15EE11AC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```</w:t>
      </w:r>
    </w:p>
    <w:p w14:paraId="576BFF1B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Key gates: AI/rule gate at promote steps; effectivity (hull/block/option/date); approval workflow.</w:t>
      </w:r>
    </w:p>
    <w:p w14:paraId="1665AB2A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Slide 6 — Vendor landscape (summary)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730217" w14:paraId="380AC0A6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14:paraId="05B58D15" w14:textId="29E358FA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Capability</w:t>
            </w:r>
          </w:p>
        </w:tc>
        <w:tc>
          <w:tcPr>
            <w:tcW w:w="1805" w:type="dxa"/>
            <w:vAlign w:val="center"/>
          </w:tcPr>
          <w:p w14:paraId="20F207D7" w14:textId="11D938A1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AVEVA</w:t>
            </w:r>
          </w:p>
        </w:tc>
        <w:tc>
          <w:tcPr>
            <w:tcW w:w="1805" w:type="dxa"/>
            <w:vAlign w:val="center"/>
          </w:tcPr>
          <w:p w14:paraId="00239934" w14:textId="555E28BE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Siemens TC</w:t>
            </w:r>
          </w:p>
        </w:tc>
        <w:tc>
          <w:tcPr>
            <w:tcW w:w="1805" w:type="dxa"/>
            <w:vAlign w:val="center"/>
          </w:tcPr>
          <w:p w14:paraId="70B9080D" w14:textId="184DD9F7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Dassault 3DX</w:t>
            </w:r>
          </w:p>
        </w:tc>
        <w:tc>
          <w:tcPr>
            <w:tcW w:w="1806" w:type="dxa"/>
            <w:vAlign w:val="center"/>
          </w:tcPr>
          <w:p w14:paraId="0576C25B" w14:textId="7DAFA381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Hexagon</w:t>
            </w:r>
          </w:p>
        </w:tc>
      </w:tr>
      <w:tr w:rsidR="00730217" w14:paraId="045174D4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14:paraId="0F8D84DD" w14:textId="562096B4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Marine 3D authoring</w:t>
            </w:r>
          </w:p>
        </w:tc>
        <w:tc>
          <w:tcPr>
            <w:tcW w:w="1805" w:type="dxa"/>
            <w:vAlign w:val="center"/>
          </w:tcPr>
          <w:p w14:paraId="432EBC9F" w14:textId="3B42678F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Strong</w:t>
            </w:r>
          </w:p>
        </w:tc>
        <w:tc>
          <w:tcPr>
            <w:tcW w:w="1805" w:type="dxa"/>
            <w:vAlign w:val="center"/>
          </w:tcPr>
          <w:p w14:paraId="7306EB49" w14:textId="7D8BAF90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Partner</w:t>
            </w:r>
          </w:p>
        </w:tc>
        <w:tc>
          <w:tcPr>
            <w:tcW w:w="1805" w:type="dxa"/>
            <w:vAlign w:val="center"/>
          </w:tcPr>
          <w:p w14:paraId="6B7D5351" w14:textId="72DB269D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Partner</w:t>
            </w:r>
          </w:p>
        </w:tc>
        <w:tc>
          <w:tcPr>
            <w:tcW w:w="1806" w:type="dxa"/>
            <w:vAlign w:val="center"/>
          </w:tcPr>
          <w:p w14:paraId="41F237BF" w14:textId="5C654640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Niche</w:t>
            </w:r>
          </w:p>
        </w:tc>
      </w:tr>
      <w:tr w:rsidR="00730217" w14:paraId="38FE8325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14:paraId="43FBA5B5" w14:textId="3444F0C6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Unified engineering</w:t>
            </w:r>
          </w:p>
        </w:tc>
        <w:tc>
          <w:tcPr>
            <w:tcW w:w="1805" w:type="dxa"/>
            <w:vAlign w:val="center"/>
          </w:tcPr>
          <w:p w14:paraId="2810EF8A" w14:textId="53D5A881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Strong</w:t>
            </w:r>
          </w:p>
        </w:tc>
        <w:tc>
          <w:tcPr>
            <w:tcW w:w="1805" w:type="dxa"/>
            <w:vAlign w:val="center"/>
          </w:tcPr>
          <w:p w14:paraId="2CC2525B" w14:textId="46AE4F21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Strong</w:t>
            </w:r>
          </w:p>
        </w:tc>
        <w:tc>
          <w:tcPr>
            <w:tcW w:w="1805" w:type="dxa"/>
            <w:vAlign w:val="center"/>
          </w:tcPr>
          <w:p w14:paraId="35DE4301" w14:textId="281E7EE7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Strong</w:t>
            </w:r>
          </w:p>
        </w:tc>
        <w:tc>
          <w:tcPr>
            <w:tcW w:w="1806" w:type="dxa"/>
            <w:vAlign w:val="center"/>
          </w:tcPr>
          <w:p w14:paraId="2ABD3DF4" w14:textId="34F73C8F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Moderate</w:t>
            </w:r>
          </w:p>
        </w:tc>
      </w:tr>
      <w:tr w:rsidR="00730217" w14:paraId="67BEBD95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14:paraId="16FA038D" w14:textId="0BDB0F39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Open API / custom PLM layer</w:t>
            </w:r>
          </w:p>
        </w:tc>
        <w:tc>
          <w:tcPr>
            <w:tcW w:w="1805" w:type="dxa"/>
            <w:vAlign w:val="center"/>
          </w:tcPr>
          <w:p w14:paraId="1066FB49" w14:textId="6DE3A5F1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Flexible</w:t>
            </w:r>
          </w:p>
        </w:tc>
        <w:tc>
          <w:tcPr>
            <w:tcW w:w="1805" w:type="dxa"/>
            <w:vAlign w:val="center"/>
          </w:tcPr>
          <w:p w14:paraId="59C2E8CC" w14:textId="5161FD25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Mature</w:t>
            </w:r>
          </w:p>
        </w:tc>
        <w:tc>
          <w:tcPr>
            <w:tcW w:w="1805" w:type="dxa"/>
            <w:vAlign w:val="center"/>
          </w:tcPr>
          <w:p w14:paraId="2569CCAD" w14:textId="3739522D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Mature</w:t>
            </w:r>
          </w:p>
        </w:tc>
        <w:tc>
          <w:tcPr>
            <w:tcW w:w="1806" w:type="dxa"/>
            <w:vAlign w:val="center"/>
          </w:tcPr>
          <w:p w14:paraId="66DDD845" w14:textId="2D126B1B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Varies</w:t>
            </w:r>
          </w:p>
        </w:tc>
      </w:tr>
      <w:tr w:rsidR="00730217" w14:paraId="0998117B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14:paraId="1B7BFA43" w14:textId="36A3ADB8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Shipyard references</w:t>
            </w:r>
          </w:p>
        </w:tc>
        <w:tc>
          <w:tcPr>
            <w:tcW w:w="1805" w:type="dxa"/>
            <w:vAlign w:val="center"/>
          </w:tcPr>
          <w:p w14:paraId="7E3C9CDA" w14:textId="404C4D8D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High (target yard)</w:t>
            </w:r>
          </w:p>
        </w:tc>
        <w:tc>
          <w:tcPr>
            <w:tcW w:w="1805" w:type="dxa"/>
            <w:vAlign w:val="center"/>
          </w:tcPr>
          <w:p w14:paraId="765A4018" w14:textId="4A47EEAB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High</w:t>
            </w:r>
          </w:p>
        </w:tc>
        <w:tc>
          <w:tcPr>
            <w:tcW w:w="1805" w:type="dxa"/>
            <w:vAlign w:val="center"/>
          </w:tcPr>
          <w:p w14:paraId="7F59BDF1" w14:textId="449BE4CC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High</w:t>
            </w:r>
          </w:p>
        </w:tc>
        <w:tc>
          <w:tcPr>
            <w:tcW w:w="1806" w:type="dxa"/>
            <w:vAlign w:val="center"/>
          </w:tcPr>
          <w:p w14:paraId="30D8D60A" w14:textId="2BA5354F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Selective</w:t>
            </w:r>
          </w:p>
        </w:tc>
      </w:tr>
    </w:tbl>
    <w:p w14:paraId="65086D31" w14:textId="77777777" w:rsidR="00730217" w:rsidRDefault="00730217" w:rsidP="00730217">
      <w:pPr>
        <w:rPr>
          <w:rFonts w:ascii="Calibri" w:hAnsi="Calibri" w:cs="Calibri"/>
          <w:b/>
          <w:sz w:val="26"/>
        </w:rPr>
      </w:pPr>
    </w:p>
    <w:p w14:paraId="51A3B28F" w14:textId="77777777" w:rsidR="00730217" w:rsidRDefault="00730217" w:rsidP="00730217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*Full benchmark available as separate deliverable.*</w:t>
      </w:r>
    </w:p>
    <w:p w14:paraId="4DF4713F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Slide 7 — Phased roadmap (MVP)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30217" w14:paraId="5600B515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58FA7C8E" w14:textId="05AB40BE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Phase</w:t>
            </w:r>
          </w:p>
        </w:tc>
        <w:tc>
          <w:tcPr>
            <w:tcW w:w="3009" w:type="dxa"/>
            <w:vAlign w:val="center"/>
          </w:tcPr>
          <w:p w14:paraId="1C893538" w14:textId="15DF6EE6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Duration</w:t>
            </w:r>
          </w:p>
        </w:tc>
        <w:tc>
          <w:tcPr>
            <w:tcW w:w="3009" w:type="dxa"/>
            <w:vAlign w:val="center"/>
          </w:tcPr>
          <w:p w14:paraId="56CB72D2" w14:textId="37AE3809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Outcome</w:t>
            </w:r>
          </w:p>
        </w:tc>
      </w:tr>
      <w:tr w:rsidR="00730217" w14:paraId="6032F7E6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742FDBD0" w14:textId="31A879E0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Phase 0 — Discovery</w:t>
            </w:r>
          </w:p>
        </w:tc>
        <w:tc>
          <w:tcPr>
            <w:tcW w:w="3009" w:type="dxa"/>
            <w:vAlign w:val="center"/>
          </w:tcPr>
          <w:p w14:paraId="6B10BE0F" w14:textId="27586097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4 wks</w:t>
            </w:r>
          </w:p>
        </w:tc>
        <w:tc>
          <w:tcPr>
            <w:tcW w:w="3009" w:type="dxa"/>
            <w:vAlign w:val="center"/>
          </w:tcPr>
          <w:p w14:paraId="7C583D42" w14:textId="047E4F02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Process map, data objects, gap list</w:t>
            </w:r>
          </w:p>
        </w:tc>
      </w:tr>
      <w:tr w:rsidR="00730217" w14:paraId="69ECF6BC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1E5D1430" w14:textId="7CA9C482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Phase 1 — MVP thread</w:t>
            </w:r>
          </w:p>
        </w:tc>
        <w:tc>
          <w:tcPr>
            <w:tcW w:w="3009" w:type="dxa"/>
            <w:vAlign w:val="center"/>
          </w:tcPr>
          <w:p w14:paraId="73DC42E9" w14:textId="17E4A5B1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12 wks</w:t>
            </w:r>
          </w:p>
        </w:tc>
        <w:tc>
          <w:tcPr>
            <w:tcW w:w="3009" w:type="dxa"/>
            <w:vAlign w:val="center"/>
          </w:tcPr>
          <w:p w14:paraId="63FFDDCD" w14:textId="39B53185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 w:hint="eastAsia"/>
                <w:b/>
                <w:sz w:val="26"/>
              </w:rPr>
              <w:t xml:space="preserve">One hull class: req </w:t>
            </w:r>
            <w:r>
              <w:rPr>
                <w:rFonts w:ascii="Calibri" w:hAnsi="Calibri" w:cs="Calibri" w:hint="eastAsia"/>
                <w:b/>
                <w:sz w:val="26"/>
              </w:rPr>
              <w:t>→</w:t>
            </w:r>
            <w:r>
              <w:rPr>
                <w:rFonts w:ascii="Calibri" w:hAnsi="Calibri" w:cs="Calibri" w:hint="eastAsia"/>
                <w:b/>
                <w:sz w:val="26"/>
              </w:rPr>
              <w:t xml:space="preserve"> ECO </w:t>
            </w:r>
            <w:r>
              <w:rPr>
                <w:rFonts w:ascii="Calibri" w:hAnsi="Calibri" w:cs="Calibri" w:hint="eastAsia"/>
                <w:b/>
                <w:sz w:val="26"/>
              </w:rPr>
              <w:t>→</w:t>
            </w:r>
            <w:r>
              <w:rPr>
                <w:rFonts w:ascii="Calibri" w:hAnsi="Calibri" w:cs="Calibri" w:hint="eastAsia"/>
                <w:b/>
                <w:sz w:val="26"/>
              </w:rPr>
              <w:t xml:space="preserve"> evidence</w:t>
            </w:r>
          </w:p>
        </w:tc>
      </w:tr>
      <w:tr w:rsidR="00730217" w14:paraId="72E4740F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42C26E67" w14:textId="77399A53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Phase 2 — Scale</w:t>
            </w:r>
          </w:p>
        </w:tc>
        <w:tc>
          <w:tcPr>
            <w:tcW w:w="3009" w:type="dxa"/>
            <w:vAlign w:val="center"/>
          </w:tcPr>
          <w:p w14:paraId="381232AB" w14:textId="77E24847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6 mo</w:t>
            </w:r>
          </w:p>
        </w:tc>
        <w:tc>
          <w:tcPr>
            <w:tcW w:w="3009" w:type="dxa"/>
            <w:vAlign w:val="center"/>
          </w:tcPr>
          <w:p w14:paraId="2D2EAE60" w14:textId="3EFBBBD0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Multi-discipline, ERP/MES touchpoints</w:t>
            </w:r>
          </w:p>
        </w:tc>
      </w:tr>
      <w:tr w:rsidR="00730217" w14:paraId="28ACBBBE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414565D3" w14:textId="5A60E351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Phase 3 — Optimize</w:t>
            </w:r>
          </w:p>
        </w:tc>
        <w:tc>
          <w:tcPr>
            <w:tcW w:w="3009" w:type="dxa"/>
            <w:vAlign w:val="center"/>
          </w:tcPr>
          <w:p w14:paraId="1E602B97" w14:textId="51FD8293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Ongoing</w:t>
            </w:r>
          </w:p>
        </w:tc>
        <w:tc>
          <w:tcPr>
            <w:tcW w:w="3009" w:type="dxa"/>
            <w:vAlign w:val="center"/>
          </w:tcPr>
          <w:p w14:paraId="6A7514D2" w14:textId="05872DAD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KPI dashboard, AI-assisted checks</w:t>
            </w:r>
          </w:p>
        </w:tc>
      </w:tr>
    </w:tbl>
    <w:p w14:paraId="6CF177A7" w14:textId="77777777" w:rsidR="00730217" w:rsidRDefault="00730217" w:rsidP="00730217">
      <w:pPr>
        <w:rPr>
          <w:rFonts w:ascii="Calibri" w:hAnsi="Calibri" w:cs="Calibri"/>
          <w:b/>
          <w:sz w:val="26"/>
        </w:rPr>
      </w:pPr>
    </w:p>
    <w:p w14:paraId="34E6733D" w14:textId="77777777" w:rsidR="00730217" w:rsidRDefault="00730217" w:rsidP="00730217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Slide 8 — KPI model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30217" w14:paraId="59787B34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5813B76B" w14:textId="2EF7EDAE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lastRenderedPageBreak/>
              <w:t>KPI</w:t>
            </w:r>
          </w:p>
        </w:tc>
        <w:tc>
          <w:tcPr>
            <w:tcW w:w="3009" w:type="dxa"/>
            <w:vAlign w:val="center"/>
          </w:tcPr>
          <w:p w14:paraId="077074B8" w14:textId="7865E6A7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Definition</w:t>
            </w:r>
          </w:p>
        </w:tc>
        <w:tc>
          <w:tcPr>
            <w:tcW w:w="3009" w:type="dxa"/>
            <w:vAlign w:val="center"/>
          </w:tcPr>
          <w:p w14:paraId="003A5917" w14:textId="784E8894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Gate</w:t>
            </w:r>
          </w:p>
        </w:tc>
      </w:tr>
      <w:tr w:rsidR="00730217" w14:paraId="3835A943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7E1B6E67" w14:textId="77DA95F7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Release readiness</w:t>
            </w:r>
          </w:p>
        </w:tc>
        <w:tc>
          <w:tcPr>
            <w:tcW w:w="3009" w:type="dxa"/>
            <w:vAlign w:val="center"/>
          </w:tcPr>
          <w:p w14:paraId="7D675EF3" w14:textId="17B81CD8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% objects with complete evidence</w:t>
            </w:r>
          </w:p>
        </w:tc>
        <w:tc>
          <w:tcPr>
            <w:tcW w:w="3009" w:type="dxa"/>
            <w:vAlign w:val="center"/>
          </w:tcPr>
          <w:p w14:paraId="01B28219" w14:textId="0D37448B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 w:hint="eastAsia"/>
                <w:b/>
                <w:sz w:val="26"/>
              </w:rPr>
              <w:t>≥</w:t>
            </w:r>
            <w:r>
              <w:rPr>
                <w:rFonts w:ascii="Calibri" w:hAnsi="Calibri" w:cs="Calibri" w:hint="eastAsia"/>
                <w:b/>
                <w:sz w:val="26"/>
              </w:rPr>
              <w:t>95% for production release</w:t>
            </w:r>
          </w:p>
        </w:tc>
      </w:tr>
      <w:tr w:rsidR="00730217" w14:paraId="78BFB0A3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7DAB414F" w14:textId="1C4D3335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Change impact coverage</w:t>
            </w:r>
          </w:p>
        </w:tc>
        <w:tc>
          <w:tcPr>
            <w:tcW w:w="3009" w:type="dxa"/>
            <w:vAlign w:val="center"/>
          </w:tcPr>
          <w:p w14:paraId="2DF57FF7" w14:textId="58B24042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ECR items with linked affected objects</w:t>
            </w:r>
          </w:p>
        </w:tc>
        <w:tc>
          <w:tcPr>
            <w:tcW w:w="3009" w:type="dxa"/>
            <w:vAlign w:val="center"/>
          </w:tcPr>
          <w:p w14:paraId="3E3B01C5" w14:textId="4958132B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100% for Class 1 changes</w:t>
            </w:r>
          </w:p>
        </w:tc>
      </w:tr>
      <w:tr w:rsidR="00730217" w14:paraId="38502C6F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6CE867C1" w14:textId="52E447BD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BOM accuracy</w:t>
            </w:r>
          </w:p>
        </w:tc>
        <w:tc>
          <w:tcPr>
            <w:tcW w:w="3009" w:type="dxa"/>
            <w:vAlign w:val="center"/>
          </w:tcPr>
          <w:p w14:paraId="2AE151C6" w14:textId="1AA105D0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M-BOM match to released E-BOM</w:t>
            </w:r>
          </w:p>
        </w:tc>
        <w:tc>
          <w:tcPr>
            <w:tcW w:w="3009" w:type="dxa"/>
            <w:vAlign w:val="center"/>
          </w:tcPr>
          <w:p w14:paraId="210AD9BF" w14:textId="2E68C279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Zero critical mismatches</w:t>
            </w:r>
          </w:p>
        </w:tc>
      </w:tr>
      <w:tr w:rsidR="00730217" w14:paraId="1047D660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76C57311" w14:textId="03F9617F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Cycle time</w:t>
            </w:r>
          </w:p>
        </w:tc>
        <w:tc>
          <w:tcPr>
            <w:tcW w:w="3009" w:type="dxa"/>
            <w:vAlign w:val="center"/>
          </w:tcPr>
          <w:p w14:paraId="0FDC3DBA" w14:textId="111DE7D5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 w:hint="eastAsia"/>
                <w:b/>
                <w:sz w:val="26"/>
              </w:rPr>
              <w:t xml:space="preserve">Req </w:t>
            </w:r>
            <w:r>
              <w:rPr>
                <w:rFonts w:ascii="Calibri" w:hAnsi="Calibri" w:cs="Calibri" w:hint="eastAsia"/>
                <w:b/>
                <w:sz w:val="26"/>
              </w:rPr>
              <w:t>→</w:t>
            </w:r>
            <w:r>
              <w:rPr>
                <w:rFonts w:ascii="Calibri" w:hAnsi="Calibri" w:cs="Calibri" w:hint="eastAsia"/>
                <w:b/>
                <w:sz w:val="26"/>
              </w:rPr>
              <w:t xml:space="preserve"> approved release</w:t>
            </w:r>
          </w:p>
        </w:tc>
        <w:tc>
          <w:tcPr>
            <w:tcW w:w="3009" w:type="dxa"/>
            <w:vAlign w:val="center"/>
          </w:tcPr>
          <w:p w14:paraId="0F38C770" w14:textId="43538DAD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Target −20% vs baseline</w:t>
            </w:r>
          </w:p>
        </w:tc>
      </w:tr>
    </w:tbl>
    <w:p w14:paraId="789E913E" w14:textId="77777777" w:rsidR="00730217" w:rsidRDefault="00730217" w:rsidP="00730217">
      <w:pPr>
        <w:rPr>
          <w:rFonts w:ascii="Calibri" w:hAnsi="Calibri" w:cs="Calibri"/>
          <w:b/>
          <w:sz w:val="26"/>
        </w:rPr>
      </w:pPr>
    </w:p>
    <w:p w14:paraId="36E9DF63" w14:textId="77777777" w:rsidR="00730217" w:rsidRDefault="00730217" w:rsidP="00730217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Slide 9 — Risks &amp; mitigations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30217" w14:paraId="17B9B144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18772E6B" w14:textId="610A0378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Risk</w:t>
            </w:r>
          </w:p>
        </w:tc>
        <w:tc>
          <w:tcPr>
            <w:tcW w:w="3009" w:type="dxa"/>
            <w:vAlign w:val="center"/>
          </w:tcPr>
          <w:p w14:paraId="2F3C8322" w14:textId="58340575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Likelihood</w:t>
            </w:r>
          </w:p>
        </w:tc>
        <w:tc>
          <w:tcPr>
            <w:tcW w:w="3009" w:type="dxa"/>
            <w:vAlign w:val="center"/>
          </w:tcPr>
          <w:p w14:paraId="3F7F7509" w14:textId="5EC244CD" w:rsidR="00730217" w:rsidRP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 w:rsidRPr="00730217">
              <w:rPr>
                <w:rFonts w:ascii="Calibri" w:hAnsi="Calibri" w:cs="Calibri"/>
                <w:b/>
                <w:sz w:val="26"/>
              </w:rPr>
              <w:t>Mitigation</w:t>
            </w:r>
          </w:p>
        </w:tc>
      </w:tr>
      <w:tr w:rsidR="00730217" w14:paraId="6C07A588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49D22CC2" w14:textId="5DD64A82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Legacy data migration</w:t>
            </w:r>
          </w:p>
        </w:tc>
        <w:tc>
          <w:tcPr>
            <w:tcW w:w="3009" w:type="dxa"/>
            <w:vAlign w:val="center"/>
          </w:tcPr>
          <w:p w14:paraId="1F0BEB04" w14:textId="00F5357F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High</w:t>
            </w:r>
          </w:p>
        </w:tc>
        <w:tc>
          <w:tcPr>
            <w:tcW w:w="3009" w:type="dxa"/>
            <w:vAlign w:val="center"/>
          </w:tcPr>
          <w:p w14:paraId="2743B872" w14:textId="5A11FB90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Phased object scope; cleansing sprint</w:t>
            </w:r>
          </w:p>
        </w:tc>
      </w:tr>
      <w:tr w:rsidR="00730217" w14:paraId="6DC16DA9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7C66547A" w14:textId="7EECA684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Authoring vs PLM split</w:t>
            </w:r>
          </w:p>
        </w:tc>
        <w:tc>
          <w:tcPr>
            <w:tcW w:w="3009" w:type="dxa"/>
            <w:vAlign w:val="center"/>
          </w:tcPr>
          <w:p w14:paraId="7CC3D91B" w14:textId="57BD0E23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Medium</w:t>
            </w:r>
          </w:p>
        </w:tc>
        <w:tc>
          <w:tcPr>
            <w:tcW w:w="3009" w:type="dxa"/>
            <w:vAlign w:val="center"/>
          </w:tcPr>
          <w:p w14:paraId="006CECB4" w14:textId="0AD43C0B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Hybrid architecture clarity; agent bridge</w:t>
            </w:r>
          </w:p>
        </w:tc>
      </w:tr>
      <w:tr w:rsidR="00730217" w14:paraId="65BDC8DE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3098D60C" w14:textId="0B1037FC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User adoption</w:t>
            </w:r>
          </w:p>
        </w:tc>
        <w:tc>
          <w:tcPr>
            <w:tcW w:w="3009" w:type="dxa"/>
            <w:vAlign w:val="center"/>
          </w:tcPr>
          <w:p w14:paraId="72584DB8" w14:textId="084064B0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Medium</w:t>
            </w:r>
          </w:p>
        </w:tc>
        <w:tc>
          <w:tcPr>
            <w:tcW w:w="3009" w:type="dxa"/>
            <w:vAlign w:val="center"/>
          </w:tcPr>
          <w:p w14:paraId="40AA70FF" w14:textId="296378E0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Champion network; template libraries</w:t>
            </w:r>
          </w:p>
        </w:tc>
      </w:tr>
      <w:tr w:rsidR="00730217" w14:paraId="2B4DC1A1" w14:textId="77777777" w:rsidTr="00730217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3CCFCB82" w14:textId="6820E10B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Integration overload</w:t>
            </w:r>
          </w:p>
        </w:tc>
        <w:tc>
          <w:tcPr>
            <w:tcW w:w="3009" w:type="dxa"/>
            <w:vAlign w:val="center"/>
          </w:tcPr>
          <w:p w14:paraId="0ABF126C" w14:textId="506661A0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Medium</w:t>
            </w:r>
          </w:p>
        </w:tc>
        <w:tc>
          <w:tcPr>
            <w:tcW w:w="3009" w:type="dxa"/>
            <w:vAlign w:val="center"/>
          </w:tcPr>
          <w:p w14:paraId="5F3264B1" w14:textId="02BC0FEB" w:rsidR="00730217" w:rsidRDefault="00730217" w:rsidP="00730217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MVP boundary; API-first interfaces</w:t>
            </w:r>
          </w:p>
        </w:tc>
      </w:tr>
    </w:tbl>
    <w:p w14:paraId="47736F57" w14:textId="77777777" w:rsidR="00730217" w:rsidRDefault="00730217" w:rsidP="00730217">
      <w:pPr>
        <w:rPr>
          <w:rFonts w:ascii="Calibri" w:hAnsi="Calibri" w:cs="Calibri"/>
          <w:b/>
          <w:sz w:val="26"/>
        </w:rPr>
      </w:pPr>
    </w:p>
    <w:p w14:paraId="6FB7DE77" w14:textId="77777777" w:rsidR="00730217" w:rsidRDefault="00730217" w:rsidP="00730217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Slide 10 — Recommended next step</w:t>
      </w:r>
    </w:p>
    <w:p w14:paraId="21EA1ACC" w14:textId="77777777" w:rsidR="00730217" w:rsidRDefault="00730217" w:rsidP="00730217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10-page concept alignment workshop + MVP charter (6 weeks)</w:t>
      </w:r>
    </w:p>
    <w:p w14:paraId="43CEB382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Deliverables:</w:t>
      </w:r>
    </w:p>
    <w:p w14:paraId="24E9A05A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- Validated process map for one pilot block/hull</w:t>
      </w:r>
    </w:p>
    <w:p w14:paraId="312DCCA7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- Object model and integration sketch</w:t>
      </w:r>
    </w:p>
    <w:p w14:paraId="356F3306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- Executive one-pager for funding decision</w:t>
      </w:r>
    </w:p>
    <w:p w14:paraId="11B6712F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Contact: leejunha781@gmail.com | LinkedIn: joonha-lee-20b518316</w:t>
      </w:r>
    </w:p>
    <w:p w14:paraId="49306641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Build instructions (internal)</w:t>
      </w:r>
    </w:p>
    <w:p w14:paraId="1AE28F9B" w14:textId="77777777" w:rsidR="00730217" w:rsidRDefault="00730217" w:rsidP="00730217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To produce full PPTX from this outline:</w:t>
      </w:r>
    </w:p>
    <w:p w14:paraId="5EFD781E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```powershell</w:t>
      </w:r>
    </w:p>
    <w:p w14:paraId="45743984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Use existing PLM builders — copy canonical deck first</w:t>
      </w:r>
    </w:p>
    <w:p w14:paraId="2B279C95" w14:textId="77777777" w:rsidR="00730217" w:rsidRDefault="00730217" w:rsidP="00730217">
      <w:pPr>
        <w:rPr>
          <w:rFonts w:ascii="Calibri" w:hAnsi="Calibri" w:cs="Calibri" w:hint="eastAsia"/>
          <w:b/>
          <w:sz w:val="32"/>
        </w:rPr>
      </w:pPr>
      <w:r>
        <w:rPr>
          <w:rFonts w:ascii="Calibri" w:hAnsi="Calibri" w:cs="Calibri" w:hint="eastAsia"/>
          <w:b/>
          <w:sz w:val="32"/>
        </w:rPr>
        <w:t>$src = "E:\</w:t>
      </w:r>
      <w:r>
        <w:rPr>
          <w:rFonts w:ascii="Calibri" w:hAnsi="Calibri" w:cs="Calibri" w:hint="eastAsia"/>
          <w:b/>
          <w:sz w:val="32"/>
        </w:rPr>
        <w:t>이력서</w:t>
      </w:r>
      <w:r>
        <w:rPr>
          <w:rFonts w:ascii="Calibri" w:hAnsi="Calibri" w:cs="Calibri" w:hint="eastAsia"/>
          <w:b/>
          <w:sz w:val="32"/>
        </w:rPr>
        <w:t xml:space="preserve">\AVEVA - Marine Principal Technical Support &amp; Consultant </w:t>
      </w:r>
      <w:r>
        <w:rPr>
          <w:rFonts w:ascii="Calibri" w:hAnsi="Calibri" w:cs="Calibri" w:hint="eastAsia"/>
          <w:b/>
          <w:sz w:val="32"/>
        </w:rPr>
        <w:t>–</w:t>
      </w:r>
      <w:r>
        <w:rPr>
          <w:rFonts w:ascii="Calibri" w:hAnsi="Calibri" w:cs="Calibri" w:hint="eastAsia"/>
          <w:b/>
          <w:sz w:val="32"/>
        </w:rPr>
        <w:t xml:space="preserve"> PLM SME, Busan\Proposal\Future_Industrial_PLM_Meeting_Deck_EN.pptx"</w:t>
      </w:r>
    </w:p>
    <w:p w14:paraId="33AAB3BE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Or build fresh 10-slide deck via plm_slide_work\build_summary_en.ps1 pattern</w:t>
      </w:r>
    </w:p>
    <w:p w14:paraId="3C6E08C8" w14:textId="77777777" w:rsidR="00730217" w:rsidRDefault="00730217" w:rsidP="00730217">
      <w:pPr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```</w:t>
      </w:r>
    </w:p>
    <w:p w14:paraId="79ADDCBF" w14:textId="77777777" w:rsidR="00730217" w:rsidRDefault="00730217" w:rsidP="00730217">
      <w:pPr>
        <w:rPr>
          <w:rFonts w:ascii="Calibri" w:hAnsi="Calibri" w:cs="Calibri"/>
        </w:rPr>
      </w:pPr>
      <w:r>
        <w:rPr>
          <w:rFonts w:ascii="Calibri" w:hAnsi="Calibri" w:cs="Calibri"/>
        </w:rPr>
        <w:t>Reference memory: `.cursor/memory/aveva-plm-application-deck.md`</w:t>
      </w:r>
    </w:p>
    <w:p w14:paraId="5127FD52" w14:textId="6453B0AE" w:rsidR="00FA799C" w:rsidRPr="00730217" w:rsidRDefault="00FA799C" w:rsidP="00730217">
      <w:pPr>
        <w:rPr>
          <w:rFonts w:ascii="Calibri" w:hAnsi="Calibri" w:cs="Calibri"/>
        </w:rPr>
      </w:pPr>
    </w:p>
    <w:sectPr w:rsidR="00FA799C" w:rsidRPr="007302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intPostScriptOverText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17"/>
    <w:rsid w:val="002872DB"/>
    <w:rsid w:val="00730217"/>
    <w:rsid w:val="009851BE"/>
    <w:rsid w:val="009B20BF"/>
    <w:rsid w:val="00A311B1"/>
    <w:rsid w:val="00A62B55"/>
    <w:rsid w:val="00E64696"/>
    <w:rsid w:val="00F31AFD"/>
    <w:rsid w:val="00FA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6D5B"/>
  <w15:chartTrackingRefBased/>
  <w15:docId w15:val="{A4515C18-9BB6-4E63-9119-1A9C8D3C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1B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51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5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51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51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51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51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51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51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51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51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51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51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51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51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51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51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51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51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51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5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51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51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9851BE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985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9851BE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985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9851BE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9851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5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사용자 지정 1">
      <a:majorFont>
        <a:latin typeface="Times New Roman"/>
        <a:ea typeface="바탕"/>
        <a:cs typeface=""/>
      </a:majorFont>
      <a:minorFont>
        <a:latin typeface="바탕체"/>
        <a:ea typeface="바탕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유선 류</dc:creator>
  <cp:keywords/>
  <dc:description/>
  <cp:lastModifiedBy>유선 류</cp:lastModifiedBy>
  <cp:revision>1</cp:revision>
  <dcterms:created xsi:type="dcterms:W3CDTF">2026-07-08T22:47:00Z</dcterms:created>
  <dcterms:modified xsi:type="dcterms:W3CDTF">2026-07-08T22:47:00Z</dcterms:modified>
</cp:coreProperties>
</file>