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3FC9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BDE50D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AD16C4E">
      <w:pPr>
        <w:spacing w:after="0"/>
        <w:jc w:val="center"/>
        <w:rPr>
          <w:b/>
        </w:rPr>
      </w:pPr>
    </w:p>
    <w:tbl>
      <w:tblPr>
        <w:tblStyle w:val="18"/>
        <w:tblW w:w="949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985"/>
      </w:tblGrid>
      <w:tr w14:paraId="068A4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F34B863">
            <w:pPr>
              <w:spacing w:after="0" w:line="240" w:lineRule="auto"/>
            </w:pPr>
            <w:r>
              <w:t>Date</w:t>
            </w:r>
          </w:p>
        </w:tc>
        <w:tc>
          <w:tcPr>
            <w:tcW w:w="4985" w:type="dxa"/>
          </w:tcPr>
          <w:p w14:paraId="049295D2">
            <w:pPr>
              <w:spacing w:after="0" w:line="240" w:lineRule="auto"/>
            </w:pPr>
            <w:r>
              <w:t>31 January 2026</w:t>
            </w:r>
          </w:p>
        </w:tc>
      </w:tr>
      <w:tr w14:paraId="58D66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459D2D">
            <w:pPr>
              <w:spacing w:after="0" w:line="240" w:lineRule="auto"/>
            </w:pPr>
            <w:r>
              <w:t>Team ID</w:t>
            </w:r>
          </w:p>
        </w:tc>
        <w:tc>
          <w:tcPr>
            <w:tcW w:w="4985" w:type="dxa"/>
          </w:tcPr>
          <w:p w14:paraId="66AB688A">
            <w:pPr>
              <w:spacing w:after="0" w:line="240" w:lineRule="auto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LTVIP2026TMIDS88360</w:t>
            </w:r>
          </w:p>
        </w:tc>
      </w:tr>
      <w:tr w14:paraId="13667D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375E1AF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985" w:type="dxa"/>
          </w:tcPr>
          <w:tbl>
            <w:tblPr>
              <w:tblStyle w:val="18"/>
              <w:tblW w:w="10060" w:type="dxa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shd w:val="clea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60"/>
            </w:tblGrid>
            <w:tr w14:paraId="60BA4EA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55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vAlign w:val="top"/>
                </w:tcPr>
                <w:tbl>
                  <w:tblPr>
                    <w:tblStyle w:val="18"/>
                    <w:tblW w:w="10060" w:type="dxa"/>
                    <w:jc w:val="center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shd w:val="clear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060"/>
                  </w:tblGrid>
                  <w:tr w14:paraId="586E4DA7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shd w:val="clear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5552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/>
                        <w:vAlign w:val="top"/>
                      </w:tcPr>
                      <w:p w14:paraId="222A12F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1" w:after="0" w:afterAutospacing="0" w:line="256" w:lineRule="auto"/>
                          <w:ind w:left="0" w:right="0"/>
                          <w:jc w:val="left"/>
                          <w:rPr>
                            <w:rFonts w:hint="default" w:ascii="Arial" w:hAnsi="Arial" w:cs="Arial"/>
                            <w:sz w:val="22"/>
                            <w:szCs w:val="22"/>
                            <w:bdr w:val="none" w:color="auto" w:sz="0" w:space="0"/>
                            <w:lang w:val="en-IN"/>
                          </w:rPr>
                        </w:pPr>
                        <w:r>
                          <w:rPr>
                            <w:rFonts w:hint="default" w:ascii="Arial" w:hAnsi="Arial" w:cs="Arial"/>
                            <w:sz w:val="22"/>
                            <w:szCs w:val="22"/>
                            <w:bdr w:val="none" w:color="auto" w:sz="0" w:space="0"/>
                            <w:lang w:val="en-IN"/>
                          </w:rPr>
                          <w:t xml:space="preserve">                                         Civil Engineering Insight Studio</w:t>
                        </w:r>
                        <w:bookmarkStart w:id="0" w:name="_GoBack"/>
                        <w:bookmarkEnd w:id="0"/>
                      </w:p>
                    </w:tc>
                  </w:tr>
                </w:tbl>
                <w:p w14:paraId="4C17E9F4">
                  <w:pPr>
                    <w:keepNext w:val="0"/>
                    <w:keepLines w:val="0"/>
                    <w:widowControl/>
                    <w:suppressLineNumbers w:val="0"/>
                    <w:spacing w:before="0" w:beforeAutospacing="1" w:after="0" w:afterAutospacing="0" w:line="256" w:lineRule="auto"/>
                    <w:ind w:left="0" w:right="0"/>
                    <w:jc w:val="left"/>
                    <w:rPr>
                      <w:rFonts w:hint="default" w:ascii="Arial" w:hAnsi="Arial" w:cs="Arial"/>
                      <w:sz w:val="22"/>
                      <w:szCs w:val="22"/>
                      <w:bdr w:val="none" w:color="auto" w:sz="0" w:space="0"/>
                    </w:rPr>
                  </w:pPr>
                </w:p>
              </w:tc>
            </w:tr>
          </w:tbl>
          <w:p w14:paraId="4C5FD475">
            <w:pPr>
              <w:spacing w:after="0" w:line="240" w:lineRule="auto"/>
            </w:pPr>
          </w:p>
        </w:tc>
      </w:tr>
      <w:tr w14:paraId="1F958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DDDC832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985" w:type="dxa"/>
          </w:tcPr>
          <w:p w14:paraId="2056089F">
            <w:pPr>
              <w:spacing w:after="0" w:line="240" w:lineRule="auto"/>
            </w:pPr>
            <w:r>
              <w:t>4 Marks</w:t>
            </w:r>
          </w:p>
        </w:tc>
      </w:tr>
    </w:tbl>
    <w:p w14:paraId="46BBDC16">
      <w:pPr>
        <w:rPr>
          <w:b/>
        </w:rPr>
      </w:pPr>
    </w:p>
    <w:p w14:paraId="2FF70AF0">
      <w:pPr>
        <w:rPr>
          <w:b/>
        </w:rPr>
      </w:pPr>
      <w:r>
        <w:rPr>
          <w:b/>
        </w:rPr>
        <w:t>Functional Requirements:</w:t>
      </w:r>
    </w:p>
    <w:p w14:paraId="336B75F3">
      <w:r>
        <w:t>Following are the 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2613"/>
        <w:gridCol w:w="5785"/>
      </w:tblGrid>
      <w:tr w14:paraId="6535D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  <w:vAlign w:val="center"/>
          </w:tcPr>
          <w:p w14:paraId="3C98C02C">
            <w:pPr>
              <w:spacing w:after="0" w:line="240" w:lineRule="auto"/>
              <w:rPr>
                <w:b/>
              </w:rPr>
            </w:pPr>
            <w:r>
              <w:rPr>
                <w:rStyle w:val="12"/>
                <w:rFonts w:ascii="Arial" w:hAnsi="Arial" w:cs="Arial"/>
                <w:color w:val="1F1F1F"/>
              </w:rPr>
              <w:t>FR No.</w:t>
            </w:r>
          </w:p>
        </w:tc>
        <w:tc>
          <w:tcPr>
            <w:tcW w:w="2613" w:type="dxa"/>
            <w:vAlign w:val="center"/>
          </w:tcPr>
          <w:p w14:paraId="4B112A1B">
            <w:pPr>
              <w:spacing w:after="0" w:line="240" w:lineRule="auto"/>
              <w:rPr>
                <w:b/>
              </w:rPr>
            </w:pPr>
            <w:r>
              <w:rPr>
                <w:rStyle w:val="12"/>
                <w:rFonts w:ascii="Arial" w:hAnsi="Arial" w:cs="Arial"/>
                <w:color w:val="1F1F1F"/>
              </w:rPr>
              <w:t>Functional Requirement (Epic)</w:t>
            </w:r>
          </w:p>
        </w:tc>
        <w:tc>
          <w:tcPr>
            <w:tcW w:w="5785" w:type="dxa"/>
            <w:vAlign w:val="center"/>
          </w:tcPr>
          <w:p w14:paraId="6C892AA4">
            <w:pPr>
              <w:spacing w:after="0" w:line="240" w:lineRule="auto"/>
              <w:rPr>
                <w:b/>
              </w:rPr>
            </w:pPr>
            <w:r>
              <w:rPr>
                <w:rStyle w:val="12"/>
                <w:rFonts w:ascii="Arial" w:hAnsi="Arial" w:cs="Arial"/>
                <w:color w:val="1F1F1F"/>
              </w:rPr>
              <w:t>Sub Requirement (Story / Sub-Task)</w:t>
            </w:r>
          </w:p>
        </w:tc>
      </w:tr>
      <w:tr w14:paraId="48AC3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5DA4C7FC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1F1F1F"/>
              </w:rPr>
              <w:t>FR-1</w:t>
            </w:r>
          </w:p>
        </w:tc>
        <w:tc>
          <w:tcPr>
            <w:tcW w:w="2613" w:type="dxa"/>
            <w:vAlign w:val="center"/>
          </w:tcPr>
          <w:p w14:paraId="1598F9B2">
            <w:pPr>
              <w:spacing w:after="0" w:line="240" w:lineRule="auto"/>
            </w:pPr>
            <w:r>
              <w:rPr>
                <w:rFonts w:ascii="Arial" w:hAnsi="Arial" w:cs="Arial"/>
                <w:color w:val="1F1F1F"/>
              </w:rPr>
              <w:t>User Registration</w:t>
            </w:r>
          </w:p>
        </w:tc>
        <w:tc>
          <w:tcPr>
            <w:tcW w:w="5785" w:type="dxa"/>
            <w:vAlign w:val="center"/>
          </w:tcPr>
          <w:p w14:paraId="42A74C56">
            <w:pPr>
              <w:pStyle w:val="11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Registration through Form</w:t>
            </w:r>
          </w:p>
          <w:p w14:paraId="51DFECF2">
            <w:pPr>
              <w:pStyle w:val="11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Registration through Gmail</w:t>
            </w:r>
          </w:p>
          <w:p w14:paraId="5F2C7C5F">
            <w:pPr>
              <w:pStyle w:val="17"/>
              <w:numPr>
                <w:ilvl w:val="0"/>
                <w:numId w:val="1"/>
              </w:numPr>
              <w:spacing w:after="0" w:line="240" w:lineRule="auto"/>
            </w:pPr>
            <w:r>
              <w:rPr>
                <w:rFonts w:ascii="Arial" w:hAnsi="Arial" w:cs="Arial"/>
                <w:color w:val="1F1F1F"/>
              </w:rPr>
              <w:t>Registration through LinkedIn</w:t>
            </w:r>
          </w:p>
        </w:tc>
      </w:tr>
      <w:tr w14:paraId="26B9C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11243783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1F1F1F"/>
              </w:rPr>
              <w:t>FR-2</w:t>
            </w:r>
          </w:p>
        </w:tc>
        <w:tc>
          <w:tcPr>
            <w:tcW w:w="2613" w:type="dxa"/>
            <w:vAlign w:val="center"/>
          </w:tcPr>
          <w:p w14:paraId="357259CF">
            <w:pPr>
              <w:spacing w:after="0" w:line="240" w:lineRule="auto"/>
            </w:pPr>
            <w:r>
              <w:rPr>
                <w:rFonts w:ascii="Arial" w:hAnsi="Arial" w:cs="Arial"/>
                <w:color w:val="1F1F1F"/>
              </w:rPr>
              <w:t>User Confirmation</w:t>
            </w:r>
          </w:p>
        </w:tc>
        <w:tc>
          <w:tcPr>
            <w:tcW w:w="5785" w:type="dxa"/>
            <w:vAlign w:val="center"/>
          </w:tcPr>
          <w:p w14:paraId="29A9A60D">
            <w:pPr>
              <w:pStyle w:val="11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Confirmation via Email</w:t>
            </w:r>
          </w:p>
          <w:p w14:paraId="4322BD02">
            <w:pPr>
              <w:pStyle w:val="17"/>
              <w:numPr>
                <w:ilvl w:val="0"/>
                <w:numId w:val="1"/>
              </w:numPr>
              <w:spacing w:after="0" w:line="240" w:lineRule="auto"/>
            </w:pPr>
            <w:r>
              <w:rPr>
                <w:rFonts w:ascii="Arial" w:hAnsi="Arial" w:cs="Arial"/>
                <w:color w:val="1F1F1F"/>
              </w:rPr>
              <w:t>Confirmation via OTP</w:t>
            </w:r>
          </w:p>
        </w:tc>
      </w:tr>
      <w:tr w14:paraId="691CA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  <w:vAlign w:val="center"/>
          </w:tcPr>
          <w:p w14:paraId="412EC16B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1F1F1F"/>
              </w:rPr>
              <w:t>FR-3</w:t>
            </w:r>
          </w:p>
        </w:tc>
        <w:tc>
          <w:tcPr>
            <w:tcW w:w="2613" w:type="dxa"/>
            <w:vAlign w:val="center"/>
          </w:tcPr>
          <w:p w14:paraId="39BEF479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1F1F1F"/>
              </w:rPr>
              <w:t>Core AI Translation</w:t>
            </w:r>
          </w:p>
        </w:tc>
        <w:tc>
          <w:tcPr>
            <w:tcW w:w="5785" w:type="dxa"/>
            <w:vAlign w:val="center"/>
          </w:tcPr>
          <w:p w14:paraId="3C17C069">
            <w:pPr>
              <w:pStyle w:val="11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hint="default" w:ascii="Arial" w:hAnsi="Arial" w:cs="Arial"/>
                <w:color w:val="1F1F1F"/>
                <w:lang w:val="en-IN"/>
              </w:rPr>
              <w:t>Image</w:t>
            </w:r>
            <w:r>
              <w:rPr>
                <w:rFonts w:ascii="Arial" w:hAnsi="Arial" w:cs="Arial"/>
                <w:color w:val="1F1F1F"/>
              </w:rPr>
              <w:t>-to-Text Translation using Gemini API</w:t>
            </w:r>
          </w:p>
          <w:p w14:paraId="6DB58E2F">
            <w:pPr>
              <w:pStyle w:val="17"/>
              <w:numPr>
                <w:ilvl w:val="0"/>
                <w:numId w:val="1"/>
              </w:numPr>
              <w:spacing w:after="0" w:line="240" w:lineRule="auto"/>
            </w:pPr>
            <w:r>
              <w:rPr>
                <w:rFonts w:ascii="Arial" w:hAnsi="Arial" w:cs="Arial"/>
                <w:color w:val="1F1F1F"/>
              </w:rPr>
              <w:t xml:space="preserve"> Context-Aware Tone Toggles (Professional/Academic/Casual)</w:t>
            </w:r>
          </w:p>
        </w:tc>
      </w:tr>
      <w:tr w14:paraId="45EF9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0AF96BD1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1F1F1F"/>
              </w:rPr>
              <w:t>FR-4</w:t>
            </w:r>
          </w:p>
        </w:tc>
        <w:tc>
          <w:tcPr>
            <w:tcW w:w="2613" w:type="dxa"/>
            <w:vAlign w:val="center"/>
          </w:tcPr>
          <w:p w14:paraId="1DA9FACF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1F1F1F"/>
              </w:rPr>
              <w:t>Document &amp; Scenario Handling</w:t>
            </w:r>
          </w:p>
        </w:tc>
        <w:tc>
          <w:tcPr>
            <w:tcW w:w="5785" w:type="dxa"/>
            <w:vAlign w:val="center"/>
          </w:tcPr>
          <w:p w14:paraId="48BB0F7C">
            <w:pPr>
              <w:pStyle w:val="11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File Upload for Academic Paper Translation</w:t>
            </w:r>
          </w:p>
          <w:p w14:paraId="08A59332">
            <w:pPr>
              <w:pStyle w:val="11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Preservation of LaTeX and Citations</w:t>
            </w:r>
          </w:p>
          <w:p w14:paraId="1D078E6D">
            <w:pPr>
              <w:pStyle w:val="17"/>
              <w:numPr>
                <w:ilvl w:val="0"/>
                <w:numId w:val="1"/>
              </w:numPr>
              <w:spacing w:after="0" w:line="240" w:lineRule="auto"/>
            </w:pPr>
            <w:r>
              <w:rPr>
                <w:rFonts w:ascii="Arial" w:hAnsi="Arial" w:cs="Arial"/>
                <w:color w:val="1F1F1F"/>
              </w:rPr>
              <w:t xml:space="preserve"> Business Brand Glossary Integration</w:t>
            </w:r>
          </w:p>
        </w:tc>
      </w:tr>
      <w:tr w14:paraId="19BD74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13F5D63E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1F1F1F"/>
              </w:rPr>
              <w:t>FR-5</w:t>
            </w:r>
          </w:p>
        </w:tc>
        <w:tc>
          <w:tcPr>
            <w:tcW w:w="2613" w:type="dxa"/>
            <w:vAlign w:val="center"/>
          </w:tcPr>
          <w:p w14:paraId="5928C31E"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1F1F1F"/>
              </w:rPr>
              <w:t>Mobile Optimization (Travel)</w:t>
            </w:r>
          </w:p>
        </w:tc>
        <w:tc>
          <w:tcPr>
            <w:tcW w:w="5785" w:type="dxa"/>
            <w:vAlign w:val="center"/>
          </w:tcPr>
          <w:p w14:paraId="4DEAED90">
            <w:pPr>
              <w:pStyle w:val="11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High-Contrast UI for mobile travelers</w:t>
            </w:r>
          </w:p>
          <w:p w14:paraId="072A1441">
            <w:pPr>
              <w:pStyle w:val="11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Voice-to-Text Input Translation</w:t>
            </w:r>
          </w:p>
          <w:p w14:paraId="0BD23164">
            <w:pPr>
              <w:pStyle w:val="17"/>
              <w:numPr>
                <w:ilvl w:val="0"/>
                <w:numId w:val="1"/>
              </w:numPr>
              <w:spacing w:after="0" w:line="240" w:lineRule="auto"/>
            </w:pPr>
            <w:r>
              <w:rPr>
                <w:rFonts w:ascii="Arial" w:hAnsi="Arial" w:cs="Arial"/>
                <w:color w:val="1F1F1F"/>
              </w:rPr>
              <w:t xml:space="preserve"> Offline Phrasebook for common travel needs</w:t>
            </w:r>
          </w:p>
        </w:tc>
      </w:tr>
    </w:tbl>
    <w:p w14:paraId="44DA6E6C">
      <w:pPr>
        <w:rPr>
          <w:b/>
        </w:rPr>
      </w:pPr>
      <w:r>
        <w:rPr>
          <w:b/>
        </w:rPr>
        <w:t>Non-functional Requirements:</w:t>
      </w:r>
    </w:p>
    <w:p w14:paraId="0ACAEC7F">
      <w:r>
        <w:t>Following are the non-functional requirements of the proposed solution.</w:t>
      </w:r>
    </w:p>
    <w:tbl>
      <w:tblPr>
        <w:tblStyle w:val="14"/>
        <w:tblW w:w="93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684"/>
        <w:gridCol w:w="6793"/>
      </w:tblGrid>
      <w:tr w14:paraId="5CDE1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853D9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</w:rPr>
              <w:t>FR No.</w:t>
            </w:r>
          </w:p>
        </w:tc>
        <w:tc>
          <w:tcPr>
            <w:tcW w:w="1684" w:type="dxa"/>
          </w:tcPr>
          <w:p w14:paraId="1F98C32B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793" w:type="dxa"/>
          </w:tcPr>
          <w:p w14:paraId="4283FF18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b/>
              </w:rPr>
              <w:t>Description</w:t>
            </w:r>
          </w:p>
        </w:tc>
      </w:tr>
      <w:tr w14:paraId="5B74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96CD8B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  <w:t>NFR-1</w:t>
            </w:r>
          </w:p>
        </w:tc>
        <w:tc>
          <w:tcPr>
            <w:tcW w:w="1684" w:type="dxa"/>
          </w:tcPr>
          <w:p w14:paraId="48580DC9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  <w:t>Usability</w:t>
            </w:r>
          </w:p>
        </w:tc>
        <w:tc>
          <w:tcPr>
            <w:tcW w:w="6793" w:type="dxa"/>
          </w:tcPr>
          <w:p w14:paraId="7515AC03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The Streamlit interface must be intuitive enough for a traveler to translate a sign in under 3 clicks.</w:t>
            </w:r>
          </w:p>
        </w:tc>
      </w:tr>
      <w:tr w14:paraId="616EC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DC5B23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  <w:t>NFR-2</w:t>
            </w:r>
          </w:p>
        </w:tc>
        <w:tc>
          <w:tcPr>
            <w:tcW w:w="1684" w:type="dxa"/>
          </w:tcPr>
          <w:p w14:paraId="79A12514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  <w:t>Security</w:t>
            </w:r>
          </w:p>
        </w:tc>
        <w:tc>
          <w:tcPr>
            <w:tcW w:w="6793" w:type="dxa"/>
          </w:tcPr>
          <w:p w14:paraId="3618688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Secure handling of API keys and encryption of user-uploaded academic or business documents.</w:t>
            </w:r>
          </w:p>
        </w:tc>
      </w:tr>
      <w:tr w14:paraId="5A703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707A8D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  <w:t>NFR-3</w:t>
            </w:r>
          </w:p>
        </w:tc>
        <w:tc>
          <w:tcPr>
            <w:tcW w:w="1684" w:type="dxa"/>
          </w:tcPr>
          <w:p w14:paraId="601A625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  <w:t>Reliability</w:t>
            </w:r>
          </w:p>
        </w:tc>
        <w:tc>
          <w:tcPr>
            <w:tcW w:w="6793" w:type="dxa"/>
          </w:tcPr>
          <w:p w14:paraId="6F3B8BD4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The system must maintain high translation accuracy (verified by back-translation checks) to ensure trust in professional settings.</w:t>
            </w:r>
          </w:p>
        </w:tc>
      </w:tr>
      <w:tr w14:paraId="10559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04A08B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  <w:t>NFR-4</w:t>
            </w:r>
          </w:p>
        </w:tc>
        <w:tc>
          <w:tcPr>
            <w:tcW w:w="1684" w:type="dxa"/>
          </w:tcPr>
          <w:p w14:paraId="328FA580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  <w:t>Performance</w:t>
            </w:r>
          </w:p>
        </w:tc>
        <w:tc>
          <w:tcPr>
            <w:tcW w:w="6793" w:type="dxa"/>
          </w:tcPr>
          <w:p w14:paraId="4BCCF165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Translation requests to the Gemini API should return results within 2–5 seconds to support real-time travel needs.</w:t>
            </w:r>
          </w:p>
        </w:tc>
      </w:tr>
      <w:tr w14:paraId="2704F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9AB4C6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  <w:t>NFR-5</w:t>
            </w:r>
          </w:p>
        </w:tc>
        <w:tc>
          <w:tcPr>
            <w:tcW w:w="1684" w:type="dxa"/>
          </w:tcPr>
          <w:p w14:paraId="2D15DCCF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  <w:t>Availability</w:t>
            </w:r>
          </w:p>
        </w:tc>
        <w:tc>
          <w:tcPr>
            <w:tcW w:w="6793" w:type="dxa"/>
          </w:tcPr>
          <w:p w14:paraId="3AC4B29D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The web application should be accessible 99% of the time, especially for researchers working across different time zones.</w:t>
            </w:r>
          </w:p>
        </w:tc>
      </w:tr>
      <w:tr w14:paraId="233A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098160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  <w:t>NFR-6</w:t>
            </w:r>
          </w:p>
        </w:tc>
        <w:tc>
          <w:tcPr>
            <w:tcW w:w="1684" w:type="dxa"/>
          </w:tcPr>
          <w:p w14:paraId="58B4E0B1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</w:rPr>
              <w:t>Scalability</w:t>
            </w:r>
          </w:p>
        </w:tc>
        <w:tc>
          <w:tcPr>
            <w:tcW w:w="6793" w:type="dxa"/>
          </w:tcPr>
          <w:p w14:paraId="2E1CD592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color w:val="1F1F1F"/>
                <w:sz w:val="24"/>
                <w:szCs w:val="24"/>
              </w:rPr>
              <w:t>The architecture must support an increasing number of concurrent users during peak travel seasons or academic deadlines.</w:t>
            </w:r>
          </w:p>
        </w:tc>
      </w:tr>
    </w:tbl>
    <w:p w14:paraId="58DFD292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02E6B"/>
    <w:multiLevelType w:val="multilevel"/>
    <w:tmpl w:val="41B02E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D82"/>
    <w:rsid w:val="000D60EB"/>
    <w:rsid w:val="0072204F"/>
    <w:rsid w:val="0073061D"/>
    <w:rsid w:val="00984D82"/>
    <w:rsid w:val="56E6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5"/>
    <w:basedOn w:val="9"/>
    <w:qFormat/>
    <w:uiPriority w:val="0"/>
    <w:pPr>
      <w:spacing w:after="0" w:line="240" w:lineRule="auto"/>
    </w:pPr>
  </w:style>
  <w:style w:type="table" w:customStyle="1" w:styleId="19">
    <w:name w:val="_Style 16"/>
    <w:basedOn w:val="9"/>
    <w:qFormat/>
    <w:uiPriority w:val="0"/>
    <w:pPr>
      <w:spacing w:after="0" w:line="240" w:lineRule="auto"/>
    </w:pPr>
  </w:style>
  <w:style w:type="table" w:customStyle="1" w:styleId="20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246</Words>
  <Characters>1642</Characters>
  <Lines>1</Lines>
  <Paragraphs>1</Paragraphs>
  <TotalTime>15</TotalTime>
  <ScaleCrop>false</ScaleCrop>
  <LinksUpToDate>false</LinksUpToDate>
  <CharactersWithSpaces>1871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Radha Yakkala</cp:lastModifiedBy>
  <cp:lastPrinted>2026-02-19T08:28:00Z</cp:lastPrinted>
  <dcterms:modified xsi:type="dcterms:W3CDTF">2026-02-19T10:53:50Z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FB8A5EDA8BBC466B9DE9AC9821986689_12</vt:lpwstr>
  </property>
</Properties>
</file>