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Carbon methodologies — executive brief</w:t>
      </w:r>
    </w:p>
    <w:p>
      <w:pPr>
        <w:pStyle w:val="Heading1"/>
        <w:keepNext/>
      </w:pPr>
      <w:r>
        <w:t xml:space="preserve">Summary</w:t>
      </w:r>
    </w:p>
    <w:p>
      <w:pPr>
        <w:spacing w:after="120"/>
      </w:pPr>
      <w:r>
        <w:t xml:space="preserve">The platform can calculate carbon credits under </w:t>
      </w:r>
      <w:r>
        <w:rPr>
          <w:b/>
          <w:bCs/>
        </w:rPr>
        <w:t xml:space="preserve">9 methodologies</w:t>
      </w:r>
      <w:r>
        <w:t xml:space="preserve"> from </w:t>
      </w:r>
      <w:r>
        <w:rPr>
          <w:b/>
          <w:bCs/>
        </w:rPr>
        <w:t xml:space="preserve">3 standards</w:t>
      </w:r>
      <w:r>
        <w:t xml:space="preserve"> — Verra, Gold Standard and India's Carbon Credit Trading Scheme (CCTS) — covering </w:t>
      </w:r>
      <w:r>
        <w:rPr>
          <w:b/>
          <w:bCs/>
        </w:rPr>
        <w:t xml:space="preserve">soil carbon on cropland, paddy rice, trees on farms, plantations and mangroves, and biochar</w:t>
      </w:r>
      <w:r>
        <w:t xml:space="preserve">. All 13 calculation variants are built and pass their automated tests, and the full soil-carbon flow has been run end to end on test data. </w:t>
      </w:r>
      <w:r>
        <w:rPr>
          <w:b/>
          <w:bCs/>
        </w:rPr>
        <w:t xml:space="preserve">None is approved for live credits yet</w:t>
      </w:r>
      <w:r>
        <w:t xml:space="preserve">: each needs a review by a qualified methodology expert before real projects use it.</w:t>
      </w:r>
    </w:p>
    <w:p>
      <w:pPr>
        <w:spacing w:after="120"/>
      </w:pPr>
      <w:r>
        <w:rPr>
          <w:b/>
          <w:bCs/>
        </w:rPr>
        <w:t xml:space="preserve">Recommendation:</w:t>
      </w:r>
      <w:r>
        <w:t xml:space="preserve"> use </w:t>
      </w:r>
      <w:r>
        <w:rPr>
          <w:b/>
          <w:bCs/>
        </w:rPr>
        <w:t xml:space="preserve">Verra VM0042</w:t>
      </w:r>
      <w:r>
        <w:t xml:space="preserve"> for our soil-sampling cropland projects, and start the expert review with VM0042.</w:t>
      </w:r>
    </w:p>
    <w:p>
      <w:pPr>
        <w:pStyle w:val="Heading1"/>
        <w:keepNext/>
      </w:pPr>
      <w:r>
        <w:t xml:space="preserve">What a methodology is, and why it matters</w:t>
      </w:r>
    </w:p>
    <w:p>
      <w:pPr>
        <w:spacing w:after="120"/>
      </w:pPr>
      <w:r>
        <w:t xml:space="preserve">A methodology is the official rulebook of a carbon standard for one type of project. It decides </w:t>
      </w:r>
      <w:r>
        <w:rPr>
          <w:b/>
          <w:bCs/>
        </w:rPr>
        <w:t xml:space="preserve">which projects qualify</w:t>
      </w:r>
      <w:r>
        <w:t xml:space="preserve">, </w:t>
      </w:r>
      <w:r>
        <w:rPr>
          <w:b/>
          <w:bCs/>
        </w:rPr>
        <w:t xml:space="preserve">what is counted</w:t>
      </w:r>
      <w:r>
        <w:t xml:space="preserve">, </w:t>
      </w:r>
      <w:r>
        <w:rPr>
          <w:b/>
          <w:bCs/>
        </w:rPr>
        <w:t xml:space="preserve">which equations and factors are used</w:t>
      </w:r>
      <w:r>
        <w:t xml:space="preserve"> and </w:t>
      </w:r>
      <w:r>
        <w:rPr>
          <w:b/>
          <w:bCs/>
        </w:rPr>
        <w:t xml:space="preserve">what must be monitored</w:t>
      </w:r>
      <w:r>
        <w:t xml:space="preserve">. Credits are only issued if the calculation follows the methodology exactly, as checked by an independent verifier (VVB). Each project uses </w:t>
      </w:r>
      <w:r>
        <w:rPr>
          <w:b/>
          <w:bCs/>
        </w:rPr>
        <w:t xml:space="preserve">one methodology for its whole life</w:t>
      </w:r>
      <w:r>
        <w:t xml:space="preserve">.</w:t>
      </w:r>
    </w:p>
    <w:p>
      <w:pPr>
        <w:pStyle w:val="Heading1"/>
        <w:keepNext/>
      </w:pPr>
      <w:r>
        <w:t xml:space="preserve">What the platform supports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501"/>
        <w:gridCol w:w="1467"/>
        <w:gridCol w:w="1283"/>
        <w:gridCol w:w="1283"/>
        <w:gridCol w:w="5504"/>
      </w:tblGrid>
      <w:tr>
        <w:trPr>
          <w:cantSplit/>
          <w:tblHeader/>
        </w:trPr>
        <w:tc>
          <w:tcPr>
            <w:tcW w:type="dxa" w:w="5501"/>
            <w:shd w:fill="E3EFE7" w:color="auto" w:val="clear"/>
            <w:tcMar>
              <w:top w:type="dxa" w:w="50"/>
              <w:left w:type="dxa" w:w="90"/>
              <w:bottom w:type="dxa" w:w="50"/>
              <w:right w:type="dxa" w:w="90"/>
            </w:tcMar>
          </w:tcPr>
          <w:p>
            <w:pPr>
              <w:spacing w:after="0" w:before="0"/>
            </w:pPr>
            <w:r>
              <w:rPr>
                <w:b/>
                <w:bCs/>
                <w:sz w:val="19"/>
                <w:szCs w:val="19"/>
              </w:rPr>
              <w:t xml:space="preserve">Project type</w:t>
            </w:r>
          </w:p>
        </w:tc>
        <w:tc>
          <w:tcPr>
            <w:tcW w:type="dxa" w:w="1467"/>
            <w:shd w:fill="E3EFE7" w:color="auto" w:val="clear"/>
            <w:tcMar>
              <w:top w:type="dxa" w:w="50"/>
              <w:left w:type="dxa" w:w="90"/>
              <w:bottom w:type="dxa" w:w="50"/>
              <w:right w:type="dxa" w:w="90"/>
            </w:tcMar>
          </w:tcPr>
          <w:p>
            <w:pPr>
              <w:spacing w:after="0" w:before="0"/>
            </w:pPr>
            <w:r>
              <w:rPr>
                <w:b/>
                <w:bCs/>
                <w:sz w:val="19"/>
                <w:szCs w:val="19"/>
              </w:rPr>
              <w:t xml:space="preserve">Methodology</w:t>
            </w:r>
          </w:p>
        </w:tc>
        <w:tc>
          <w:tcPr>
            <w:tcW w:type="dxa" w:w="1283"/>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1283"/>
            <w:shd w:fill="E3EFE7" w:color="auto" w:val="clear"/>
            <w:tcMar>
              <w:top w:type="dxa" w:w="50"/>
              <w:left w:type="dxa" w:w="90"/>
              <w:bottom w:type="dxa" w:w="50"/>
              <w:right w:type="dxa" w:w="90"/>
            </w:tcMar>
          </w:tcPr>
          <w:p>
            <w:pPr>
              <w:spacing w:after="0" w:before="0"/>
            </w:pPr>
            <w:r>
              <w:rPr>
                <w:b/>
                <w:bCs/>
                <w:sz w:val="19"/>
                <w:szCs w:val="19"/>
              </w:rPr>
              <w:t xml:space="preserve">Credit</w:t>
            </w:r>
          </w:p>
        </w:tc>
        <w:tc>
          <w:tcPr>
            <w:tcW w:type="dxa" w:w="5504"/>
            <w:shd w:fill="E3EFE7" w:color="auto" w:val="clear"/>
            <w:tcMar>
              <w:top w:type="dxa" w:w="50"/>
              <w:left w:type="dxa" w:w="90"/>
              <w:bottom w:type="dxa" w:w="50"/>
              <w:right w:type="dxa" w:w="90"/>
            </w:tcMar>
          </w:tcPr>
          <w:p>
            <w:pPr>
              <w:spacing w:after="0" w:before="0"/>
            </w:pPr>
            <w:r>
              <w:rPr>
                <w:b/>
                <w:bCs/>
                <w:sz w:val="19"/>
                <w:szCs w:val="19"/>
              </w:rPr>
              <w:t xml:space="preserve">How carbon is measured</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Cropland practice change</w:t>
            </w:r>
            <w:r>
              <w:rPr>
                <w:sz w:val="19"/>
                <w:szCs w:val="19"/>
              </w:rPr>
              <w:t xml:space="preserve"> (reduced tillage, residue mulching, cover crops, nutrient management)</w:t>
            </w:r>
          </w:p>
        </w:tc>
        <w:tc>
          <w:tcPr>
            <w:tcW w:type="dxa" w:w="1467"/>
            <w:tcMar>
              <w:top w:type="dxa" w:w="50"/>
              <w:left w:type="dxa" w:w="90"/>
              <w:bottom w:type="dxa" w:w="50"/>
              <w:right w:type="dxa" w:w="90"/>
            </w:tcMar>
          </w:tcPr>
          <w:p>
            <w:pPr>
              <w:spacing w:after="0" w:before="0"/>
            </w:pPr>
            <w:r>
              <w:rPr>
                <w:b/>
                <w:bCs/>
                <w:sz w:val="19"/>
                <w:szCs w:val="19"/>
              </w:rPr>
              <w:t xml:space="preserve">VM0042 v2.2</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Soil sampled twice and laboratory-analysed, compared with control farms</w:t>
            </w:r>
          </w:p>
        </w:tc>
      </w:tr>
      <w:tr>
        <w:trPr>
          <w:cantSplit/>
        </w:trPr>
        <w:tc>
          <w:tcPr>
            <w:tcW w:type="dxa" w:w="5501"/>
            <w:tcMar>
              <w:top w:type="dxa" w:w="50"/>
              <w:left w:type="dxa" w:w="90"/>
              <w:bottom w:type="dxa" w:w="50"/>
              <w:right w:type="dxa" w:w="90"/>
            </w:tcMar>
          </w:tcPr>
          <w:p>
            <w:pPr>
              <w:spacing w:after="0" w:before="0"/>
            </w:pPr>
            <w:r>
              <w:rPr>
                <w:sz w:val="19"/>
                <w:szCs w:val="19"/>
              </w:rPr>
              <w:t xml:space="preserve">Cropland practice change — Gold Standard (5 variants)</w:t>
            </w:r>
          </w:p>
        </w:tc>
        <w:tc>
          <w:tcPr>
            <w:tcW w:type="dxa" w:w="1467"/>
            <w:tcMar>
              <w:top w:type="dxa" w:w="50"/>
              <w:left w:type="dxa" w:w="90"/>
              <w:bottom w:type="dxa" w:w="50"/>
              <w:right w:type="dxa" w:w="90"/>
            </w:tcMar>
          </w:tcPr>
          <w:p>
            <w:pPr>
              <w:spacing w:after="0" w:before="0"/>
            </w:pPr>
            <w:r>
              <w:rPr>
                <w:sz w:val="19"/>
                <w:szCs w:val="19"/>
              </w:rPr>
              <w:t xml:space="preserve">GS 402 v1.0</w:t>
            </w:r>
          </w:p>
        </w:tc>
        <w:tc>
          <w:tcPr>
            <w:tcW w:type="dxa" w:w="1283"/>
            <w:tcMar>
              <w:top w:type="dxa" w:w="50"/>
              <w:left w:type="dxa" w:w="90"/>
              <w:bottom w:type="dxa" w:w="50"/>
              <w:right w:type="dxa" w:w="90"/>
            </w:tcMar>
          </w:tcPr>
          <w:p>
            <w:pPr>
              <w:spacing w:after="0" w:before="0"/>
            </w:pPr>
            <w:r>
              <w:rPr>
                <w:sz w:val="19"/>
                <w:szCs w:val="19"/>
              </w:rPr>
              <w:t xml:space="preserve">Gold Standard</w:t>
            </w:r>
          </w:p>
        </w:tc>
        <w:tc>
          <w:tcPr>
            <w:tcW w:type="dxa" w:w="1283"/>
            <w:tcMar>
              <w:top w:type="dxa" w:w="50"/>
              <w:left w:type="dxa" w:w="90"/>
              <w:bottom w:type="dxa" w:w="50"/>
              <w:right w:type="dxa" w:w="90"/>
            </w:tcMar>
          </w:tcPr>
          <w:p>
            <w:pPr>
              <w:spacing w:after="0" w:before="0"/>
            </w:pPr>
            <w:r>
              <w:rPr>
                <w:sz w:val="19"/>
                <w:szCs w:val="19"/>
              </w:rPr>
              <w:t xml:space="preserve">GS VER</w:t>
            </w:r>
          </w:p>
        </w:tc>
        <w:tc>
          <w:tcPr>
            <w:tcW w:type="dxa" w:w="5504"/>
            <w:tcMar>
              <w:top w:type="dxa" w:w="50"/>
              <w:left w:type="dxa" w:w="90"/>
              <w:bottom w:type="dxa" w:w="50"/>
              <w:right w:type="dxa" w:w="90"/>
            </w:tcMar>
          </w:tcPr>
          <w:p>
            <w:pPr>
              <w:spacing w:after="0" w:before="0"/>
            </w:pPr>
            <w:r>
              <w:rPr>
                <w:sz w:val="19"/>
                <w:szCs w:val="19"/>
              </w:rPr>
              <w:t xml:space="preserve">Soil sampled twice, </w:t>
            </w:r>
            <w:r>
              <w:rPr>
                <w:b/>
                <w:bCs/>
                <w:sz w:val="19"/>
                <w:szCs w:val="19"/>
              </w:rPr>
              <w:t xml:space="preserve">or</w:t>
            </w:r>
            <w:r>
              <w:rPr>
                <w:sz w:val="19"/>
                <w:szCs w:val="19"/>
              </w:rPr>
              <w:t xml:space="preserve"> IPCC default factors without sampling</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Paddy rice</w:t>
            </w:r>
            <w:r>
              <w:rPr>
                <w:sz w:val="19"/>
                <w:szCs w:val="19"/>
              </w:rPr>
              <w:t xml:space="preserve"> — water saving, straw management</w:t>
            </w:r>
          </w:p>
        </w:tc>
        <w:tc>
          <w:tcPr>
            <w:tcW w:type="dxa" w:w="1467"/>
            <w:tcMar>
              <w:top w:type="dxa" w:w="50"/>
              <w:left w:type="dxa" w:w="90"/>
              <w:bottom w:type="dxa" w:w="50"/>
              <w:right w:type="dxa" w:w="90"/>
            </w:tcMar>
          </w:tcPr>
          <w:p>
            <w:pPr>
              <w:spacing w:after="0" w:before="0"/>
            </w:pPr>
            <w:r>
              <w:rPr>
                <w:sz w:val="19"/>
                <w:szCs w:val="19"/>
              </w:rPr>
              <w:t xml:space="preserve">VM0051 v1.1</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Methane from field records and IPCC factors</w:t>
            </w:r>
          </w:p>
        </w:tc>
      </w:tr>
      <w:tr>
        <w:trPr>
          <w:cantSplit/>
        </w:trPr>
        <w:tc>
          <w:tcPr>
            <w:tcW w:type="dxa" w:w="5501"/>
            <w:tcMar>
              <w:top w:type="dxa" w:w="50"/>
              <w:left w:type="dxa" w:w="90"/>
              <w:bottom w:type="dxa" w:w="50"/>
              <w:right w:type="dxa" w:w="90"/>
            </w:tcMar>
          </w:tcPr>
          <w:p>
            <w:pPr>
              <w:spacing w:after="0" w:before="0"/>
            </w:pPr>
            <w:r>
              <w:rPr>
                <w:sz w:val="19"/>
                <w:szCs w:val="19"/>
              </w:rPr>
              <w:t xml:space="preserve">Paddy rice — Indian compliance market</w:t>
            </w:r>
          </w:p>
        </w:tc>
        <w:tc>
          <w:tcPr>
            <w:tcW w:type="dxa" w:w="1467"/>
            <w:tcMar>
              <w:top w:type="dxa" w:w="50"/>
              <w:left w:type="dxa" w:w="90"/>
              <w:bottom w:type="dxa" w:w="50"/>
              <w:right w:type="dxa" w:w="90"/>
            </w:tcMar>
          </w:tcPr>
          <w:p>
            <w:pPr>
              <w:spacing w:after="0" w:before="0"/>
            </w:pPr>
            <w:r>
              <w:rPr>
                <w:sz w:val="19"/>
                <w:szCs w:val="19"/>
              </w:rPr>
              <w:t xml:space="preserve">BM AG04.002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Methane from IPCC default values</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Trees on farmland</w:t>
            </w:r>
            <w:r>
              <w:rPr>
                <w:sz w:val="19"/>
                <w:szCs w:val="19"/>
              </w:rPr>
              <w:t xml:space="preserve"> (≤ 50 per hectare)</w:t>
            </w:r>
          </w:p>
        </w:tc>
        <w:tc>
          <w:tcPr>
            <w:tcW w:type="dxa" w:w="1467"/>
            <w:tcMar>
              <w:top w:type="dxa" w:w="50"/>
              <w:left w:type="dxa" w:w="90"/>
              <w:bottom w:type="dxa" w:w="50"/>
              <w:right w:type="dxa" w:w="90"/>
            </w:tcMar>
          </w:tcPr>
          <w:p>
            <w:pPr>
              <w:spacing w:after="0" w:before="0"/>
            </w:pPr>
            <w:r>
              <w:rPr>
                <w:sz w:val="19"/>
                <w:szCs w:val="19"/>
              </w:rPr>
              <w:t xml:space="preserve">VM0047 v1.1</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Tree census and sampled tree measurements</w:t>
            </w:r>
          </w:p>
        </w:tc>
      </w:tr>
      <w:tr>
        <w:trPr>
          <w:cantSplit/>
        </w:trPr>
        <w:tc>
          <w:tcPr>
            <w:tcW w:type="dxa" w:w="5501"/>
            <w:tcMar>
              <w:top w:type="dxa" w:w="50"/>
              <w:left w:type="dxa" w:w="90"/>
              <w:bottom w:type="dxa" w:w="50"/>
              <w:right w:type="dxa" w:w="90"/>
            </w:tcMar>
          </w:tcPr>
          <w:p>
            <w:pPr>
              <w:spacing w:after="0" w:before="0"/>
            </w:pPr>
            <w:r>
              <w:rPr>
                <w:sz w:val="19"/>
                <w:szCs w:val="19"/>
              </w:rPr>
              <w:t xml:space="preserve">Plantations / reforestation</w:t>
            </w:r>
          </w:p>
        </w:tc>
        <w:tc>
          <w:tcPr>
            <w:tcW w:type="dxa" w:w="1467"/>
            <w:tcMar>
              <w:top w:type="dxa" w:w="50"/>
              <w:left w:type="dxa" w:w="90"/>
              <w:bottom w:type="dxa" w:w="50"/>
              <w:right w:type="dxa" w:w="90"/>
            </w:tcMar>
          </w:tcPr>
          <w:p>
            <w:pPr>
              <w:spacing w:after="0" w:before="0"/>
            </w:pPr>
            <w:r>
              <w:rPr>
                <w:sz w:val="19"/>
                <w:szCs w:val="19"/>
              </w:rPr>
              <w:t xml:space="preserve">GS 403 v2.1</w:t>
            </w:r>
          </w:p>
        </w:tc>
        <w:tc>
          <w:tcPr>
            <w:tcW w:type="dxa" w:w="1283"/>
            <w:tcMar>
              <w:top w:type="dxa" w:w="50"/>
              <w:left w:type="dxa" w:w="90"/>
              <w:bottom w:type="dxa" w:w="50"/>
              <w:right w:type="dxa" w:w="90"/>
            </w:tcMar>
          </w:tcPr>
          <w:p>
            <w:pPr>
              <w:spacing w:after="0" w:before="0"/>
            </w:pPr>
            <w:r>
              <w:rPr>
                <w:sz w:val="19"/>
                <w:szCs w:val="19"/>
              </w:rPr>
              <w:t xml:space="preserve">Gold Standard</w:t>
            </w:r>
          </w:p>
        </w:tc>
        <w:tc>
          <w:tcPr>
            <w:tcW w:type="dxa" w:w="1283"/>
            <w:tcMar>
              <w:top w:type="dxa" w:w="50"/>
              <w:left w:type="dxa" w:w="90"/>
              <w:bottom w:type="dxa" w:w="50"/>
              <w:right w:type="dxa" w:w="90"/>
            </w:tcMar>
          </w:tcPr>
          <w:p>
            <w:pPr>
              <w:spacing w:after="0" w:before="0"/>
            </w:pPr>
            <w:r>
              <w:rPr>
                <w:sz w:val="19"/>
                <w:szCs w:val="19"/>
              </w:rPr>
              <w:t xml:space="preserve">GS VER</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sz w:val="19"/>
                <w:szCs w:val="19"/>
              </w:rPr>
              <w:t xml:space="preserve">Plantations / reforestation — India</w:t>
            </w:r>
          </w:p>
        </w:tc>
        <w:tc>
          <w:tcPr>
            <w:tcW w:type="dxa" w:w="1467"/>
            <w:tcMar>
              <w:top w:type="dxa" w:w="50"/>
              <w:left w:type="dxa" w:w="90"/>
              <w:bottom w:type="dxa" w:w="50"/>
              <w:right w:type="dxa" w:w="90"/>
            </w:tcMar>
          </w:tcPr>
          <w:p>
            <w:pPr>
              <w:spacing w:after="0" w:before="0"/>
            </w:pPr>
            <w:r>
              <w:rPr>
                <w:sz w:val="19"/>
                <w:szCs w:val="19"/>
              </w:rPr>
              <w:t xml:space="preserve">BM FR05.002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sz w:val="19"/>
                <w:szCs w:val="19"/>
              </w:rPr>
              <w:t xml:space="preserve">Mangrove restoration — India</w:t>
            </w:r>
          </w:p>
        </w:tc>
        <w:tc>
          <w:tcPr>
            <w:tcW w:type="dxa" w:w="1467"/>
            <w:tcMar>
              <w:top w:type="dxa" w:w="50"/>
              <w:left w:type="dxa" w:w="90"/>
              <w:bottom w:type="dxa" w:w="50"/>
              <w:right w:type="dxa" w:w="90"/>
            </w:tcMar>
          </w:tcPr>
          <w:p>
            <w:pPr>
              <w:spacing w:after="0" w:before="0"/>
            </w:pPr>
            <w:r>
              <w:rPr>
                <w:sz w:val="19"/>
                <w:szCs w:val="19"/>
              </w:rPr>
              <w:t xml:space="preserve">BM FR05.001 v1.0</w:t>
            </w:r>
          </w:p>
        </w:tc>
        <w:tc>
          <w:tcPr>
            <w:tcW w:type="dxa" w:w="1283"/>
            <w:tcMar>
              <w:top w:type="dxa" w:w="50"/>
              <w:left w:type="dxa" w:w="90"/>
              <w:bottom w:type="dxa" w:w="50"/>
              <w:right w:type="dxa" w:w="90"/>
            </w:tcMar>
          </w:tcPr>
          <w:p>
            <w:pPr>
              <w:spacing w:after="0" w:before="0"/>
            </w:pPr>
            <w:r>
              <w:rPr>
                <w:sz w:val="19"/>
                <w:szCs w:val="19"/>
              </w:rPr>
              <w:t xml:space="preserve">India CCTS</w:t>
            </w:r>
          </w:p>
        </w:tc>
        <w:tc>
          <w:tcPr>
            <w:tcW w:type="dxa" w:w="1283"/>
            <w:tcMar>
              <w:top w:type="dxa" w:w="50"/>
              <w:left w:type="dxa" w:w="90"/>
              <w:bottom w:type="dxa" w:w="50"/>
              <w:right w:type="dxa" w:w="90"/>
            </w:tcMar>
          </w:tcPr>
          <w:p>
            <w:pPr>
              <w:spacing w:after="0" w:before="0"/>
            </w:pPr>
            <w:r>
              <w:rPr>
                <w:sz w:val="19"/>
                <w:szCs w:val="19"/>
              </w:rPr>
              <w:t xml:space="preserve">CCC</w:t>
            </w:r>
          </w:p>
        </w:tc>
        <w:tc>
          <w:tcPr>
            <w:tcW w:type="dxa" w:w="5504"/>
            <w:tcMar>
              <w:top w:type="dxa" w:w="50"/>
              <w:left w:type="dxa" w:w="90"/>
              <w:bottom w:type="dxa" w:w="50"/>
              <w:right w:type="dxa" w:w="90"/>
            </w:tcMar>
          </w:tcPr>
          <w:p>
            <w:pPr>
              <w:spacing w:after="0" w:before="0"/>
            </w:pPr>
            <w:r>
              <w:rPr>
                <w:sz w:val="19"/>
                <w:szCs w:val="19"/>
              </w:rPr>
              <w:t xml:space="preserve">Forest inventory plots</w:t>
            </w:r>
          </w:p>
        </w:tc>
      </w:tr>
      <w:tr>
        <w:trPr>
          <w:cantSplit/>
        </w:trPr>
        <w:tc>
          <w:tcPr>
            <w:tcW w:type="dxa" w:w="5501"/>
            <w:tcMar>
              <w:top w:type="dxa" w:w="50"/>
              <w:left w:type="dxa" w:w="90"/>
              <w:bottom w:type="dxa" w:w="50"/>
              <w:right w:type="dxa" w:w="90"/>
            </w:tcMar>
          </w:tcPr>
          <w:p>
            <w:pPr>
              <w:spacing w:after="0" w:before="0"/>
            </w:pPr>
            <w:r>
              <w:rPr>
                <w:b/>
                <w:bCs/>
                <w:sz w:val="19"/>
                <w:szCs w:val="19"/>
              </w:rPr>
              <w:t xml:space="preserve">Biochar</w:t>
            </w:r>
            <w:r>
              <w:rPr>
                <w:sz w:val="19"/>
                <w:szCs w:val="19"/>
              </w:rPr>
              <w:t xml:space="preserve"> from crop residue</w:t>
            </w:r>
          </w:p>
        </w:tc>
        <w:tc>
          <w:tcPr>
            <w:tcW w:type="dxa" w:w="1467"/>
            <w:tcMar>
              <w:top w:type="dxa" w:w="50"/>
              <w:left w:type="dxa" w:w="90"/>
              <w:bottom w:type="dxa" w:w="50"/>
              <w:right w:type="dxa" w:w="90"/>
            </w:tcMar>
          </w:tcPr>
          <w:p>
            <w:pPr>
              <w:spacing w:after="0" w:before="0"/>
            </w:pPr>
            <w:r>
              <w:rPr>
                <w:sz w:val="19"/>
                <w:szCs w:val="19"/>
              </w:rPr>
              <w:t xml:space="preserve">VM0044 v1.2</w:t>
            </w:r>
          </w:p>
        </w:tc>
        <w:tc>
          <w:tcPr>
            <w:tcW w:type="dxa" w:w="1283"/>
            <w:tcMar>
              <w:top w:type="dxa" w:w="50"/>
              <w:left w:type="dxa" w:w="90"/>
              <w:bottom w:type="dxa" w:w="50"/>
              <w:right w:type="dxa" w:w="90"/>
            </w:tcMar>
          </w:tcPr>
          <w:p>
            <w:pPr>
              <w:spacing w:after="0" w:before="0"/>
            </w:pPr>
            <w:r>
              <w:rPr>
                <w:sz w:val="19"/>
                <w:szCs w:val="19"/>
              </w:rPr>
              <w:t xml:space="preserve">Verra</w:t>
            </w:r>
          </w:p>
        </w:tc>
        <w:tc>
          <w:tcPr>
            <w:tcW w:type="dxa" w:w="1283"/>
            <w:tcMar>
              <w:top w:type="dxa" w:w="50"/>
              <w:left w:type="dxa" w:w="90"/>
              <w:bottom w:type="dxa" w:w="50"/>
              <w:right w:type="dxa" w:w="90"/>
            </w:tcMar>
          </w:tcPr>
          <w:p>
            <w:pPr>
              <w:spacing w:after="0" w:before="0"/>
            </w:pPr>
            <w:r>
              <w:rPr>
                <w:sz w:val="19"/>
                <w:szCs w:val="19"/>
              </w:rPr>
              <w:t xml:space="preserve">VCU</w:t>
            </w:r>
          </w:p>
        </w:tc>
        <w:tc>
          <w:tcPr>
            <w:tcW w:type="dxa" w:w="5504"/>
            <w:tcMar>
              <w:top w:type="dxa" w:w="50"/>
              <w:left w:type="dxa" w:w="90"/>
              <w:bottom w:type="dxa" w:w="50"/>
              <w:right w:type="dxa" w:w="90"/>
            </w:tcMar>
          </w:tcPr>
          <w:p>
            <w:pPr>
              <w:spacing w:after="0" w:before="0"/>
            </w:pPr>
            <w:r>
              <w:rPr>
                <w:sz w:val="19"/>
                <w:szCs w:val="19"/>
              </w:rPr>
              <w:t xml:space="preserve">Biochar quantity and laboratory analysis</w:t>
            </w:r>
          </w:p>
        </w:tc>
      </w:tr>
    </w:tbl>
    <w:p>
      <w:pPr>
        <w:spacing w:after="120"/>
      </w:pPr>
    </w:p>
    <w:p>
      <w:pPr>
        <w:pStyle w:val="Heading1"/>
        <w:keepNext/>
      </w:pPr>
      <w:r>
        <w:t xml:space="preserve">Where we stand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422"/>
        <w:gridCol w:w="10616"/>
      </w:tblGrid>
      <w:tr>
        <w:trPr>
          <w:cantSplit/>
          <w:tblHeader/>
        </w:trPr>
        <w:tc>
          <w:tcPr>
            <w:tcW w:type="dxa" w:w="4422"/>
            <w:shd w:fill="E3EFE7" w:color="auto" w:val="clear"/>
            <w:tcMar>
              <w:top w:type="dxa" w:w="50"/>
              <w:left w:type="dxa" w:w="90"/>
              <w:bottom w:type="dxa" w:w="50"/>
              <w:right w:type="dxa" w:w="90"/>
            </w:tcMar>
          </w:tcPr>
          <w:p>
            <w:pPr>
              <w:spacing w:after="0" w:before="0"/>
            </w:pPr>
            <w:r>
              <w:rPr>
                <w:b/>
                <w:bCs/>
                <w:sz w:val="19"/>
                <w:szCs w:val="19"/>
              </w:rPr>
              <w:t xml:space="preserve">Area</w:t>
            </w:r>
          </w:p>
        </w:tc>
        <w:tc>
          <w:tcPr>
            <w:tcW w:type="dxa" w:w="10616"/>
            <w:shd w:fill="E3EFE7" w:color="auto" w:val="clear"/>
            <w:tcMar>
              <w:top w:type="dxa" w:w="50"/>
              <w:left w:type="dxa" w:w="90"/>
              <w:bottom w:type="dxa" w:w="50"/>
              <w:right w:type="dxa" w:w="90"/>
            </w:tcMar>
          </w:tcPr>
          <w:p>
            <w:pPr>
              <w:spacing w:after="0" w:before="0"/>
            </w:pPr>
            <w:r>
              <w:rPr>
                <w:b/>
                <w:bCs/>
                <w:sz w:val="19"/>
                <w:szCs w:val="19"/>
              </w:rPr>
              <w:t xml:space="preserve">Status</w:t>
            </w:r>
          </w:p>
        </w:tc>
      </w:tr>
      <w:tr>
        <w:trPr>
          <w:cantSplit/>
        </w:trPr>
        <w:tc>
          <w:tcPr>
            <w:tcW w:type="dxa" w:w="4422"/>
            <w:tcMar>
              <w:top w:type="dxa" w:w="50"/>
              <w:left w:type="dxa" w:w="90"/>
              <w:bottom w:type="dxa" w:w="50"/>
              <w:right w:type="dxa" w:w="90"/>
            </w:tcMar>
          </w:tcPr>
          <w:p>
            <w:pPr>
              <w:spacing w:after="0" w:before="0"/>
            </w:pPr>
            <w:r>
              <w:rPr>
                <w:sz w:val="19"/>
                <w:szCs w:val="19"/>
              </w:rPr>
              <w:t xml:space="preserve">Calculation modules</w:t>
            </w:r>
          </w:p>
        </w:tc>
        <w:tc>
          <w:tcPr>
            <w:tcW w:type="dxa" w:w="10616"/>
            <w:tcMar>
              <w:top w:type="dxa" w:w="50"/>
              <w:left w:type="dxa" w:w="90"/>
              <w:bottom w:type="dxa" w:w="50"/>
              <w:right w:type="dxa" w:w="90"/>
            </w:tcMar>
          </w:tcPr>
          <w:p>
            <w:pPr>
              <w:spacing w:after="0" w:before="0"/>
            </w:pPr>
            <w:r>
              <w:rPr>
                <w:b/>
                <w:bCs/>
                <w:sz w:val="19"/>
                <w:szCs w:val="19"/>
              </w:rPr>
              <w:t xml:space="preserve">13 built</w:t>
            </w:r>
            <w:r>
              <w:rPr>
                <w:sz w:val="19"/>
                <w:szCs w:val="19"/>
              </w:rPr>
              <w:t xml:space="preserve"> (9 methodologies; GS 402 has 5 variants), each implementing the official equations with references</w:t>
            </w:r>
          </w:p>
        </w:tc>
      </w:tr>
      <w:tr>
        <w:trPr>
          <w:cantSplit/>
        </w:trPr>
        <w:tc>
          <w:tcPr>
            <w:tcW w:type="dxa" w:w="4422"/>
            <w:tcMar>
              <w:top w:type="dxa" w:w="50"/>
              <w:left w:type="dxa" w:w="90"/>
              <w:bottom w:type="dxa" w:w="50"/>
              <w:right w:type="dxa" w:w="90"/>
            </w:tcMar>
          </w:tcPr>
          <w:p>
            <w:pPr>
              <w:spacing w:after="0" w:before="0"/>
            </w:pPr>
            <w:r>
              <w:rPr>
                <w:sz w:val="19"/>
                <w:szCs w:val="19"/>
              </w:rPr>
              <w:t xml:space="preserve">Automated testing</w:t>
            </w:r>
          </w:p>
        </w:tc>
        <w:tc>
          <w:tcPr>
            <w:tcW w:type="dxa" w:w="10616"/>
            <w:tcMar>
              <w:top w:type="dxa" w:w="50"/>
              <w:left w:type="dxa" w:w="90"/>
              <w:bottom w:type="dxa" w:w="50"/>
              <w:right w:type="dxa" w:w="90"/>
            </w:tcMar>
          </w:tcPr>
          <w:p>
            <w:pPr>
              <w:spacing w:after="0" w:before="0"/>
            </w:pPr>
            <w:r>
              <w:rPr>
                <w:b/>
                <w:bCs/>
                <w:sz w:val="19"/>
                <w:szCs w:val="19"/>
              </w:rPr>
              <w:t xml:space="preserve">34 tests passing</w:t>
            </w:r>
            <w:r>
              <w:rPr>
                <w:sz w:val="19"/>
                <w:szCs w:val="19"/>
              </w:rPr>
              <w:t xml:space="preserve"> — every module checked against an independent hand calculation</w:t>
            </w:r>
          </w:p>
        </w:tc>
      </w:tr>
      <w:tr>
        <w:trPr>
          <w:cantSplit/>
        </w:trPr>
        <w:tc>
          <w:tcPr>
            <w:tcW w:type="dxa" w:w="4422"/>
            <w:tcMar>
              <w:top w:type="dxa" w:w="50"/>
              <w:left w:type="dxa" w:w="90"/>
              <w:bottom w:type="dxa" w:w="50"/>
              <w:right w:type="dxa" w:w="90"/>
            </w:tcMar>
          </w:tcPr>
          <w:p>
            <w:pPr>
              <w:spacing w:after="0" w:before="0"/>
            </w:pPr>
            <w:r>
              <w:rPr>
                <w:sz w:val="19"/>
                <w:szCs w:val="19"/>
              </w:rPr>
              <w:t xml:space="preserve">End-to-end testing</w:t>
            </w:r>
          </w:p>
        </w:tc>
        <w:tc>
          <w:tcPr>
            <w:tcW w:type="dxa" w:w="10616"/>
            <w:tcMar>
              <w:top w:type="dxa" w:w="50"/>
              <w:left w:type="dxa" w:w="90"/>
              <w:bottom w:type="dxa" w:w="50"/>
              <w:right w:type="dxa" w:w="90"/>
            </w:tcMar>
          </w:tcPr>
          <w:p>
            <w:pPr>
              <w:spacing w:after="0" w:before="0"/>
            </w:pPr>
            <w:r>
              <w:rPr>
                <w:sz w:val="19"/>
                <w:szCs w:val="19"/>
              </w:rPr>
              <w:t xml:space="preserve">Soil-carbon flow run in the test environment from farmer registration to calculated credits (VM0042: about </w:t>
            </w:r>
            <w:r>
              <w:rPr>
                <w:b/>
                <w:bCs/>
                <w:sz w:val="19"/>
                <w:szCs w:val="19"/>
              </w:rPr>
              <w:t xml:space="preserve">950 credits</w:t>
            </w:r>
            <w:r>
              <w:rPr>
                <w:sz w:val="19"/>
                <w:szCs w:val="19"/>
              </w:rPr>
              <w:t xml:space="preserve"> on a 100-hectare test farm; GS 402 also run)</w:t>
            </w:r>
          </w:p>
        </w:tc>
      </w:tr>
      <w:tr>
        <w:trPr>
          <w:cantSplit/>
        </w:trPr>
        <w:tc>
          <w:tcPr>
            <w:tcW w:type="dxa" w:w="4422"/>
            <w:tcMar>
              <w:top w:type="dxa" w:w="50"/>
              <w:left w:type="dxa" w:w="90"/>
              <w:bottom w:type="dxa" w:w="50"/>
              <w:right w:type="dxa" w:w="90"/>
            </w:tcMar>
          </w:tcPr>
          <w:p>
            <w:pPr>
              <w:spacing w:after="0" w:before="0"/>
            </w:pPr>
            <w:r>
              <w:rPr>
                <w:sz w:val="19"/>
                <w:szCs w:val="19"/>
              </w:rPr>
              <w:t xml:space="preserve">Approval for live credits</w:t>
            </w:r>
          </w:p>
        </w:tc>
        <w:tc>
          <w:tcPr>
            <w:tcW w:type="dxa" w:w="10616"/>
            <w:tcMar>
              <w:top w:type="dxa" w:w="50"/>
              <w:left w:type="dxa" w:w="90"/>
              <w:bottom w:type="dxa" w:w="50"/>
              <w:right w:type="dxa" w:w="90"/>
            </w:tcMar>
          </w:tcPr>
          <w:p>
            <w:pPr>
              <w:spacing w:after="0" w:before="0"/>
            </w:pPr>
            <w:r>
              <w:rPr>
                <w:b/>
                <w:bCs/>
                <w:sz w:val="19"/>
                <w:szCs w:val="19"/>
              </w:rPr>
              <w:t xml:space="preserve">Not yet — "not production ready" for all 13</w:t>
            </w:r>
          </w:p>
        </w:tc>
      </w:tr>
      <w:tr>
        <w:trPr>
          <w:cantSplit/>
        </w:trPr>
        <w:tc>
          <w:tcPr>
            <w:tcW w:type="dxa" w:w="4422"/>
            <w:tcMar>
              <w:top w:type="dxa" w:w="50"/>
              <w:left w:type="dxa" w:w="90"/>
              <w:bottom w:type="dxa" w:w="50"/>
              <w:right w:type="dxa" w:w="90"/>
            </w:tcMar>
          </w:tcPr>
          <w:p>
            <w:pPr>
              <w:spacing w:after="0" w:before="0"/>
            </w:pPr>
            <w:r>
              <w:rPr>
                <w:sz w:val="19"/>
                <w:szCs w:val="19"/>
              </w:rPr>
              <w:t xml:space="preserve">Safeguards</w:t>
            </w:r>
          </w:p>
        </w:tc>
        <w:tc>
          <w:tcPr>
            <w:tcW w:type="dxa" w:w="10616"/>
            <w:tcMar>
              <w:top w:type="dxa" w:w="50"/>
              <w:left w:type="dxa" w:w="90"/>
              <w:bottom w:type="dxa" w:w="50"/>
              <w:right w:type="dxa" w:w="90"/>
            </w:tcMar>
          </w:tcPr>
          <w:p>
            <w:pPr>
              <w:spacing w:after="0" w:before="0"/>
            </w:pPr>
            <w:r>
              <w:rPr>
                <w:sz w:val="19"/>
                <w:szCs w:val="19"/>
              </w:rPr>
              <w:t xml:space="preserve">One locked methodology per project; land-overlap checks; one registry submission per period; issued credits capped at the verified amount; duplicate-serial checks; every approval by a second person and fully audited</w:t>
            </w:r>
          </w:p>
        </w:tc>
      </w:tr>
    </w:tbl>
    <w:p>
      <w:pPr>
        <w:spacing w:after="120"/>
      </w:pPr>
    </w:p>
    <w:p>
      <w:pPr>
        <w:spacing w:after="120"/>
      </w:pPr>
      <w:r>
        <w:rPr>
          <w:b/>
          <w:bCs/>
        </w:rPr>
        <w:t xml:space="preserve">What "not production ready" means:</w:t>
      </w:r>
      <w:r>
        <w:t xml:space="preserve"> the calculations are built and tested, but a qualified methodology expert must confirm that each one matches the official methodology text, including the interpretations the code makes where the text is ambiguous. Until that review is recorded in the platform, the calculation runs in testing only and is </w:t>
      </w:r>
      <w:r>
        <w:rPr>
          <w:b/>
          <w:bCs/>
        </w:rPr>
        <w:t xml:space="preserve">blocked in the live system</w:t>
      </w:r>
      <w:r>
        <w:t xml:space="preserve">. This protects us from issuing credits that a verifier could later reject.</w:t>
      </w:r>
    </w:p>
    <w:p>
      <w:pPr>
        <w:pStyle w:val="Heading1"/>
        <w:keepNext/>
      </w:pPr>
      <w:r>
        <w:t xml:space="preserve">Which methodology for our projects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Our situation</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Recommended</w:t>
            </w:r>
          </w:p>
        </w:tc>
      </w:tr>
      <w:tr>
        <w:trPr>
          <w:cantSplit/>
        </w:trPr>
        <w:tc>
          <w:tcPr>
            <w:tcW w:type="dxa" w:w="7519"/>
            <w:tcMar>
              <w:top w:type="dxa" w:w="50"/>
              <w:left w:type="dxa" w:w="90"/>
              <w:bottom w:type="dxa" w:w="50"/>
              <w:right w:type="dxa" w:w="90"/>
            </w:tcMar>
          </w:tcPr>
          <w:p>
            <w:pPr>
              <w:spacing w:after="0" w:before="0"/>
            </w:pPr>
            <w:r>
              <w:rPr>
                <w:sz w:val="19"/>
                <w:szCs w:val="19"/>
              </w:rPr>
              <w:t xml:space="preserve">Farms where we take soil samples and can find comparable control farms</w:t>
            </w:r>
          </w:p>
        </w:tc>
        <w:tc>
          <w:tcPr>
            <w:tcW w:type="dxa" w:w="7519"/>
            <w:tcMar>
              <w:top w:type="dxa" w:w="50"/>
              <w:left w:type="dxa" w:w="90"/>
              <w:bottom w:type="dxa" w:w="50"/>
              <w:right w:type="dxa" w:w="90"/>
            </w:tcMar>
          </w:tcPr>
          <w:p>
            <w:pPr>
              <w:spacing w:after="0" w:before="0"/>
            </w:pPr>
            <w:r>
              <w:rPr>
                <w:b/>
                <w:bCs/>
                <w:sz w:val="19"/>
                <w:szCs w:val="19"/>
              </w:rPr>
              <w:t xml:space="preserve">VM0042</w:t>
            </w:r>
            <w:r>
              <w:rPr>
                <w:sz w:val="19"/>
                <w:szCs w:val="19"/>
              </w:rPr>
              <w:t xml:space="preserve"> (Verra) — our main choice; tested end to end</w:t>
            </w:r>
          </w:p>
        </w:tc>
      </w:tr>
      <w:tr>
        <w:trPr>
          <w:cantSplit/>
        </w:trPr>
        <w:tc>
          <w:tcPr>
            <w:tcW w:type="dxa" w:w="7519"/>
            <w:tcMar>
              <w:top w:type="dxa" w:w="50"/>
              <w:left w:type="dxa" w:w="90"/>
              <w:bottom w:type="dxa" w:w="50"/>
              <w:right w:type="dxa" w:w="90"/>
            </w:tcMar>
          </w:tcPr>
          <w:p>
            <w:pPr>
              <w:spacing w:after="0" w:before="0"/>
            </w:pPr>
            <w:r>
              <w:rPr>
                <w:sz w:val="19"/>
                <w:szCs w:val="19"/>
              </w:rPr>
              <w:t xml:space="preserve">Farms where we take soil samples but have no control farms</w:t>
            </w:r>
          </w:p>
        </w:tc>
        <w:tc>
          <w:tcPr>
            <w:tcW w:type="dxa" w:w="7519"/>
            <w:tcMar>
              <w:top w:type="dxa" w:w="50"/>
              <w:left w:type="dxa" w:w="90"/>
              <w:bottom w:type="dxa" w:w="50"/>
              <w:right w:type="dxa" w:w="90"/>
            </w:tcMar>
          </w:tcPr>
          <w:p>
            <w:pPr>
              <w:spacing w:after="0" w:before="0"/>
            </w:pPr>
            <w:r>
              <w:rPr>
                <w:sz w:val="19"/>
                <w:szCs w:val="19"/>
              </w:rPr>
              <w:t xml:space="preserve">GS 402 measured variant (Gold Standard)</w:t>
            </w:r>
          </w:p>
        </w:tc>
      </w:tr>
      <w:tr>
        <w:trPr>
          <w:cantSplit/>
        </w:trPr>
        <w:tc>
          <w:tcPr>
            <w:tcW w:type="dxa" w:w="7519"/>
            <w:tcMar>
              <w:top w:type="dxa" w:w="50"/>
              <w:left w:type="dxa" w:w="90"/>
              <w:bottom w:type="dxa" w:w="50"/>
              <w:right w:type="dxa" w:w="90"/>
            </w:tcMar>
          </w:tcPr>
          <w:p>
            <w:pPr>
              <w:spacing w:after="0" w:before="0"/>
            </w:pPr>
            <w:r>
              <w:rPr>
                <w:sz w:val="19"/>
                <w:szCs w:val="19"/>
              </w:rPr>
              <w:t xml:space="preserve">Smallholder or pilot projects without soil sampling</w:t>
            </w:r>
          </w:p>
        </w:tc>
        <w:tc>
          <w:tcPr>
            <w:tcW w:type="dxa" w:w="7519"/>
            <w:tcMar>
              <w:top w:type="dxa" w:w="50"/>
              <w:left w:type="dxa" w:w="90"/>
              <w:bottom w:type="dxa" w:w="50"/>
              <w:right w:type="dxa" w:w="90"/>
            </w:tcMar>
          </w:tcPr>
          <w:p>
            <w:pPr>
              <w:spacing w:after="0" w:before="0"/>
            </w:pPr>
            <w:r>
              <w:rPr>
                <w:sz w:val="19"/>
                <w:szCs w:val="19"/>
              </w:rPr>
              <w:t xml:space="preserve">GS 402 default-factor variant — simpler and cheaper, but more conservative credits</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farmers adopting water saving</w:t>
            </w:r>
          </w:p>
        </w:tc>
        <w:tc>
          <w:tcPr>
            <w:tcW w:type="dxa" w:w="7519"/>
            <w:tcMar>
              <w:top w:type="dxa" w:w="50"/>
              <w:left w:type="dxa" w:w="90"/>
              <w:bottom w:type="dxa" w:w="50"/>
              <w:right w:type="dxa" w:w="90"/>
            </w:tcMar>
          </w:tcPr>
          <w:p>
            <w:pPr>
              <w:spacing w:after="0" w:before="0"/>
            </w:pPr>
            <w:r>
              <w:rPr>
                <w:sz w:val="19"/>
                <w:szCs w:val="19"/>
              </w:rPr>
              <w:t xml:space="preserve">VM0051 (voluntary market) or BM AG04.002 (Indian compliance market)</w:t>
            </w:r>
          </w:p>
        </w:tc>
      </w:tr>
      <w:tr>
        <w:trPr>
          <w:cantSplit/>
        </w:trPr>
        <w:tc>
          <w:tcPr>
            <w:tcW w:type="dxa" w:w="7519"/>
            <w:tcMar>
              <w:top w:type="dxa" w:w="50"/>
              <w:left w:type="dxa" w:w="90"/>
              <w:bottom w:type="dxa" w:w="50"/>
              <w:right w:type="dxa" w:w="90"/>
            </w:tcMar>
          </w:tcPr>
          <w:p>
            <w:pPr>
              <w:spacing w:after="0" w:before="0"/>
            </w:pPr>
            <w:r>
              <w:rPr>
                <w:sz w:val="19"/>
                <w:szCs w:val="19"/>
              </w:rPr>
              <w:t xml:space="preserve">Tree planting on farm boundaries</w:t>
            </w:r>
          </w:p>
        </w:tc>
        <w:tc>
          <w:tcPr>
            <w:tcW w:type="dxa" w:w="7519"/>
            <w:tcMar>
              <w:top w:type="dxa" w:w="50"/>
              <w:left w:type="dxa" w:w="90"/>
              <w:bottom w:type="dxa" w:w="50"/>
              <w:right w:type="dxa" w:w="90"/>
            </w:tcMar>
          </w:tcPr>
          <w:p>
            <w:pPr>
              <w:spacing w:after="0" w:before="0"/>
            </w:pPr>
            <w:r>
              <w:rPr>
                <w:sz w:val="19"/>
                <w:szCs w:val="19"/>
              </w:rPr>
              <w:t xml:space="preserve">VM0047</w:t>
            </w:r>
          </w:p>
        </w:tc>
      </w:tr>
    </w:tbl>
    <w:p>
      <w:pPr>
        <w:spacing w:after="120"/>
      </w:pPr>
    </w:p>
    <w:p>
      <w:pPr>
        <w:pStyle w:val="Heading1"/>
        <w:keepNext/>
      </w:pPr>
      <w:r>
        <w:t xml:space="preserve">Decisions and risks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58"/>
        <w:gridCol w:w="5821"/>
        <w:gridCol w:w="5821"/>
        <w:gridCol w:w="2038"/>
      </w:tblGrid>
      <w:tr>
        <w:trPr>
          <w:cantSplit/>
          <w:tblHeader/>
        </w:trPr>
        <w:tc>
          <w:tcPr>
            <w:tcW w:type="dxa" w:w="1358"/>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5821"/>
            <w:shd w:fill="E3EFE7" w:color="auto" w:val="clear"/>
            <w:tcMar>
              <w:top w:type="dxa" w:w="50"/>
              <w:left w:type="dxa" w:w="90"/>
              <w:bottom w:type="dxa" w:w="50"/>
              <w:right w:type="dxa" w:w="90"/>
            </w:tcMar>
          </w:tcPr>
          <w:p>
            <w:pPr>
              <w:spacing w:after="0" w:before="0"/>
            </w:pPr>
            <w:r>
              <w:rPr>
                <w:b/>
                <w:bCs/>
                <w:sz w:val="19"/>
                <w:szCs w:val="19"/>
              </w:rPr>
              <w:t xml:space="preserve">Item</w:t>
            </w:r>
          </w:p>
        </w:tc>
        <w:tc>
          <w:tcPr>
            <w:tcW w:type="dxa" w:w="5821"/>
            <w:shd w:fill="E3EFE7" w:color="auto" w:val="clear"/>
            <w:tcMar>
              <w:top w:type="dxa" w:w="50"/>
              <w:left w:type="dxa" w:w="90"/>
              <w:bottom w:type="dxa" w:w="50"/>
              <w:right w:type="dxa" w:w="90"/>
            </w:tcMar>
          </w:tcPr>
          <w:p>
            <w:pPr>
              <w:spacing w:after="0" w:before="0"/>
            </w:pPr>
            <w:r>
              <w:rPr>
                <w:b/>
                <w:bCs/>
                <w:sz w:val="19"/>
                <w:szCs w:val="19"/>
              </w:rPr>
              <w:t xml:space="preserve">Why it matters</w:t>
            </w:r>
          </w:p>
        </w:tc>
        <w:tc>
          <w:tcPr>
            <w:tcW w:type="dxa" w:w="2038"/>
            <w:shd w:fill="E3EFE7" w:color="auto" w:val="clear"/>
            <w:tcMar>
              <w:top w:type="dxa" w:w="50"/>
              <w:left w:type="dxa" w:w="90"/>
              <w:bottom w:type="dxa" w:w="50"/>
              <w:right w:type="dxa" w:w="90"/>
            </w:tcMar>
          </w:tcPr>
          <w:p>
            <w:pPr>
              <w:spacing w:after="0" w:before="0"/>
            </w:pPr>
            <w:r>
              <w:rPr>
                <w:b/>
                <w:bCs/>
                <w:sz w:val="19"/>
                <w:szCs w:val="19"/>
              </w:rPr>
              <w:t xml:space="preserve">Owner</w:t>
            </w:r>
          </w:p>
        </w:tc>
      </w:tr>
      <w:tr>
        <w:trPr>
          <w:cantSplit/>
        </w:trPr>
        <w:tc>
          <w:tcPr>
            <w:tcW w:type="dxa" w:w="1358"/>
            <w:tcMar>
              <w:top w:type="dxa" w:w="50"/>
              <w:left w:type="dxa" w:w="90"/>
              <w:bottom w:type="dxa" w:w="50"/>
              <w:right w:type="dxa" w:w="90"/>
            </w:tcMar>
          </w:tcPr>
          <w:p>
            <w:pPr>
              <w:spacing w:after="0" w:before="0"/>
            </w:pPr>
            <w:r>
              <w:rPr>
                <w:sz w:val="19"/>
                <w:szCs w:val="19"/>
              </w:rPr>
              <w:t xml:space="preserve">1</w:t>
            </w:r>
          </w:p>
        </w:tc>
        <w:tc>
          <w:tcPr>
            <w:tcW w:type="dxa" w:w="5821"/>
            <w:tcMar>
              <w:top w:type="dxa" w:w="50"/>
              <w:left w:type="dxa" w:w="90"/>
              <w:bottom w:type="dxa" w:w="50"/>
              <w:right w:type="dxa" w:w="90"/>
            </w:tcMar>
          </w:tcPr>
          <w:p>
            <w:pPr>
              <w:spacing w:after="0" w:before="0"/>
            </w:pPr>
            <w:r>
              <w:rPr>
                <w:b/>
                <w:bCs/>
                <w:sz w:val="19"/>
                <w:szCs w:val="19"/>
              </w:rPr>
              <w:t xml:space="preserve">Engage a methodology expert</w:t>
            </w:r>
            <w:r>
              <w:rPr>
                <w:sz w:val="19"/>
                <w:szCs w:val="19"/>
              </w:rPr>
              <w:t xml:space="preserve"> to review VM0042 first, then the other modules we plan to use</w:t>
            </w:r>
          </w:p>
        </w:tc>
        <w:tc>
          <w:tcPr>
            <w:tcW w:type="dxa" w:w="5821"/>
            <w:tcMar>
              <w:top w:type="dxa" w:w="50"/>
              <w:left w:type="dxa" w:w="90"/>
              <w:bottom w:type="dxa" w:w="50"/>
              <w:right w:type="dxa" w:w="90"/>
            </w:tcMar>
          </w:tcPr>
          <w:p>
            <w:pPr>
              <w:spacing w:after="0" w:before="0"/>
            </w:pPr>
            <w:r>
              <w:rPr>
                <w:sz w:val="19"/>
                <w:szCs w:val="19"/>
              </w:rPr>
              <w:t xml:space="preserve">Required before any live credits</w:t>
            </w:r>
          </w:p>
        </w:tc>
        <w:tc>
          <w:tcPr>
            <w:tcW w:type="dxa" w:w="2038"/>
            <w:tcMar>
              <w:top w:type="dxa" w:w="50"/>
              <w:left w:type="dxa" w:w="90"/>
              <w:bottom w:type="dxa" w:w="50"/>
              <w:right w:type="dxa" w:w="90"/>
            </w:tcMar>
          </w:tcPr>
          <w:p>
            <w:pPr>
              <w:spacing w:after="0" w:before="0"/>
            </w:pPr>
            <w:r>
              <w:rPr>
                <w:sz w:val="19"/>
                <w:szCs w:val="19"/>
              </w:rPr>
              <w:t xml:space="preserve">Management</w:t>
            </w:r>
          </w:p>
        </w:tc>
      </w:tr>
      <w:tr>
        <w:trPr>
          <w:cantSplit/>
        </w:trPr>
        <w:tc>
          <w:tcPr>
            <w:tcW w:type="dxa" w:w="1358"/>
            <w:tcMar>
              <w:top w:type="dxa" w:w="50"/>
              <w:left w:type="dxa" w:w="90"/>
              <w:bottom w:type="dxa" w:w="50"/>
              <w:right w:type="dxa" w:w="90"/>
            </w:tcMar>
          </w:tcPr>
          <w:p>
            <w:pPr>
              <w:spacing w:after="0" w:before="0"/>
            </w:pPr>
            <w:r>
              <w:rPr>
                <w:sz w:val="19"/>
                <w:szCs w:val="19"/>
              </w:rPr>
              <w:t xml:space="preserve">2</w:t>
            </w:r>
          </w:p>
        </w:tc>
        <w:tc>
          <w:tcPr>
            <w:tcW w:type="dxa" w:w="5821"/>
            <w:tcMar>
              <w:top w:type="dxa" w:w="50"/>
              <w:left w:type="dxa" w:w="90"/>
              <w:bottom w:type="dxa" w:w="50"/>
              <w:right w:type="dxa" w:w="90"/>
            </w:tcMar>
          </w:tcPr>
          <w:p>
            <w:pPr>
              <w:spacing w:after="0" w:before="0"/>
            </w:pPr>
            <w:r>
              <w:rPr>
                <w:b/>
                <w:bCs/>
                <w:sz w:val="19"/>
                <w:szCs w:val="19"/>
              </w:rPr>
              <w:t xml:space="preserve">Write the eligibility (applicability) rules</w:t>
            </w:r>
            <w:r>
              <w:rPr>
                <w:sz w:val="19"/>
                <w:szCs w:val="19"/>
              </w:rPr>
              <w:t xml:space="preserve"> for each methodology from the official text</w:t>
            </w:r>
          </w:p>
        </w:tc>
        <w:tc>
          <w:tcPr>
            <w:tcW w:type="dxa" w:w="5821"/>
            <w:tcMar>
              <w:top w:type="dxa" w:w="50"/>
              <w:left w:type="dxa" w:w="90"/>
              <w:bottom w:type="dxa" w:w="50"/>
              <w:right w:type="dxa" w:w="90"/>
            </w:tcMar>
          </w:tcPr>
          <w:p>
            <w:pPr>
              <w:spacing w:after="0" w:before="0"/>
            </w:pPr>
            <w:r>
              <w:rPr>
                <w:sz w:val="19"/>
                <w:szCs w:val="19"/>
              </w:rPr>
              <w:t xml:space="preserve">The platform checks projects against these; they are not supplied with the software</w:t>
            </w:r>
          </w:p>
        </w:tc>
        <w:tc>
          <w:tcPr>
            <w:tcW w:type="dxa" w:w="2038"/>
            <w:tcMar>
              <w:top w:type="dxa" w:w="50"/>
              <w:left w:type="dxa" w:w="90"/>
              <w:bottom w:type="dxa" w:w="50"/>
              <w:right w:type="dxa" w:w="90"/>
            </w:tcMar>
          </w:tcPr>
          <w:p>
            <w:pPr>
              <w:spacing w:after="0" w:before="0"/>
            </w:pPr>
            <w:r>
              <w:rPr>
                <w:sz w:val="19"/>
                <w:szCs w:val="19"/>
              </w:rPr>
              <w:t xml:space="preserve">Methodology expert</w:t>
            </w:r>
          </w:p>
        </w:tc>
      </w:tr>
      <w:tr>
        <w:trPr>
          <w:cantSplit/>
        </w:trPr>
        <w:tc>
          <w:tcPr>
            <w:tcW w:type="dxa" w:w="1358"/>
            <w:tcMar>
              <w:top w:type="dxa" w:w="50"/>
              <w:left w:type="dxa" w:w="90"/>
              <w:bottom w:type="dxa" w:w="50"/>
              <w:right w:type="dxa" w:w="90"/>
            </w:tcMar>
          </w:tcPr>
          <w:p>
            <w:pPr>
              <w:spacing w:after="0" w:before="0"/>
            </w:pPr>
            <w:r>
              <w:rPr>
                <w:sz w:val="19"/>
                <w:szCs w:val="19"/>
              </w:rPr>
              <w:t xml:space="preserve">3</w:t>
            </w:r>
          </w:p>
        </w:tc>
        <w:tc>
          <w:tcPr>
            <w:tcW w:type="dxa" w:w="5821"/>
            <w:tcMar>
              <w:top w:type="dxa" w:w="50"/>
              <w:left w:type="dxa" w:w="90"/>
              <w:bottom w:type="dxa" w:w="50"/>
              <w:right w:type="dxa" w:w="90"/>
            </w:tcMar>
          </w:tcPr>
          <w:p>
            <w:pPr>
              <w:spacing w:after="0" w:before="0"/>
            </w:pPr>
            <w:r>
              <w:rPr>
                <w:b/>
                <w:bCs/>
                <w:sz w:val="19"/>
                <w:szCs w:val="19"/>
              </w:rPr>
              <w:t xml:space="preserve">Electricity in VM0042</w:t>
            </w:r>
            <w:r>
              <w:rPr>
                <w:sz w:val="19"/>
                <w:szCs w:val="19"/>
              </w:rPr>
              <w:t xml:space="preserve"> — confirm whether electricity use (e.g. electric irrigation pumps) must be counted</w:t>
            </w:r>
          </w:p>
        </w:tc>
        <w:tc>
          <w:tcPr>
            <w:tcW w:type="dxa" w:w="5821"/>
            <w:tcMar>
              <w:top w:type="dxa" w:w="50"/>
              <w:left w:type="dxa" w:w="90"/>
              <w:bottom w:type="dxa" w:w="50"/>
              <w:right w:type="dxa" w:w="90"/>
            </w:tcMar>
          </w:tcPr>
          <w:p>
            <w:pPr>
              <w:spacing w:after="0" w:before="0"/>
            </w:pPr>
            <w:r>
              <w:rPr>
                <w:sz w:val="19"/>
                <w:szCs w:val="19"/>
              </w:rPr>
              <w:t xml:space="preserve">If required, a small addition to the calculation</w:t>
            </w:r>
          </w:p>
        </w:tc>
        <w:tc>
          <w:tcPr>
            <w:tcW w:type="dxa" w:w="2038"/>
            <w:tcMar>
              <w:top w:type="dxa" w:w="50"/>
              <w:left w:type="dxa" w:w="90"/>
              <w:bottom w:type="dxa" w:w="50"/>
              <w:right w:type="dxa" w:w="90"/>
            </w:tcMar>
          </w:tcPr>
          <w:p>
            <w:pPr>
              <w:spacing w:after="0" w:before="0"/>
            </w:pPr>
            <w:r>
              <w:rPr>
                <w:sz w:val="19"/>
                <w:szCs w:val="19"/>
              </w:rPr>
              <w:t xml:space="preserve">Methodology expert</w:t>
            </w:r>
          </w:p>
        </w:tc>
      </w:tr>
      <w:tr>
        <w:trPr>
          <w:cantSplit/>
        </w:trPr>
        <w:tc>
          <w:tcPr>
            <w:tcW w:type="dxa" w:w="1358"/>
            <w:tcMar>
              <w:top w:type="dxa" w:w="50"/>
              <w:left w:type="dxa" w:w="90"/>
              <w:bottom w:type="dxa" w:w="50"/>
              <w:right w:type="dxa" w:w="90"/>
            </w:tcMar>
          </w:tcPr>
          <w:p>
            <w:pPr>
              <w:spacing w:after="0" w:before="0"/>
            </w:pPr>
            <w:r>
              <w:rPr>
                <w:sz w:val="19"/>
                <w:szCs w:val="19"/>
              </w:rPr>
              <w:t xml:space="preserve">4</w:t>
            </w:r>
          </w:p>
        </w:tc>
        <w:tc>
          <w:tcPr>
            <w:tcW w:type="dxa" w:w="5821"/>
            <w:tcMar>
              <w:top w:type="dxa" w:w="50"/>
              <w:left w:type="dxa" w:w="90"/>
              <w:bottom w:type="dxa" w:w="50"/>
              <w:right w:type="dxa" w:w="90"/>
            </w:tcMar>
          </w:tcPr>
          <w:p>
            <w:pPr>
              <w:spacing w:after="0" w:before="0"/>
            </w:pPr>
            <w:r>
              <w:rPr>
                <w:b/>
                <w:bCs/>
                <w:sz w:val="19"/>
                <w:szCs w:val="19"/>
              </w:rPr>
              <w:t xml:space="preserve">Choose the standard per project</w:t>
            </w:r>
            <w:r>
              <w:rPr>
                <w:sz w:val="19"/>
                <w:szCs w:val="19"/>
              </w:rPr>
              <w:t xml:space="preserve"> (Verra, Gold Standard or CCTS) before starting</w:t>
            </w:r>
          </w:p>
        </w:tc>
        <w:tc>
          <w:tcPr>
            <w:tcW w:type="dxa" w:w="5821"/>
            <w:tcMar>
              <w:top w:type="dxa" w:w="50"/>
              <w:left w:type="dxa" w:w="90"/>
              <w:bottom w:type="dxa" w:w="50"/>
              <w:right w:type="dxa" w:w="90"/>
            </w:tcMar>
          </w:tcPr>
          <w:p>
            <w:pPr>
              <w:spacing w:after="0" w:before="0"/>
            </w:pPr>
            <w:r>
              <w:rPr>
                <w:sz w:val="19"/>
                <w:szCs w:val="19"/>
              </w:rPr>
              <w:t xml:space="preserve">One project = one methodology; prevents double counting</w:t>
            </w:r>
          </w:p>
        </w:tc>
        <w:tc>
          <w:tcPr>
            <w:tcW w:type="dxa" w:w="2038"/>
            <w:tcMar>
              <w:top w:type="dxa" w:w="50"/>
              <w:left w:type="dxa" w:w="90"/>
              <w:bottom w:type="dxa" w:w="50"/>
              <w:right w:type="dxa" w:w="90"/>
            </w:tcMar>
          </w:tcPr>
          <w:p>
            <w:pPr>
              <w:spacing w:after="0" w:before="0"/>
            </w:pPr>
            <w:r>
              <w:rPr>
                <w:sz w:val="19"/>
                <w:szCs w:val="19"/>
              </w:rPr>
              <w:t xml:space="preserve">Management</w:t>
            </w:r>
          </w:p>
        </w:tc>
      </w:tr>
      <w:tr>
        <w:trPr>
          <w:cantSplit/>
        </w:trPr>
        <w:tc>
          <w:tcPr>
            <w:tcW w:type="dxa" w:w="1358"/>
            <w:tcMar>
              <w:top w:type="dxa" w:w="50"/>
              <w:left w:type="dxa" w:w="90"/>
              <w:bottom w:type="dxa" w:w="50"/>
              <w:right w:type="dxa" w:w="90"/>
            </w:tcMar>
          </w:tcPr>
          <w:p>
            <w:pPr>
              <w:spacing w:after="0" w:before="0"/>
            </w:pPr>
            <w:r>
              <w:rPr>
                <w:sz w:val="19"/>
                <w:szCs w:val="19"/>
              </w:rPr>
              <w:t xml:space="preserve">5</w:t>
            </w:r>
          </w:p>
        </w:tc>
        <w:tc>
          <w:tcPr>
            <w:tcW w:type="dxa" w:w="5821"/>
            <w:tcMar>
              <w:top w:type="dxa" w:w="50"/>
              <w:left w:type="dxa" w:w="90"/>
              <w:bottom w:type="dxa" w:w="50"/>
              <w:right w:type="dxa" w:w="90"/>
            </w:tcMar>
          </w:tcPr>
          <w:p>
            <w:pPr>
              <w:spacing w:after="0" w:before="0"/>
            </w:pPr>
            <w:r>
              <w:rPr>
                <w:b/>
                <w:bCs/>
                <w:sz w:val="19"/>
                <w:szCs w:val="19"/>
              </w:rPr>
              <w:t xml:space="preserve">Field and laboratory capacity</w:t>
            </w:r>
            <w:r>
              <w:rPr>
                <w:sz w:val="19"/>
                <w:szCs w:val="19"/>
              </w:rPr>
              <w:t xml:space="preserve"> for VM0042</w:t>
            </w:r>
          </w:p>
        </w:tc>
        <w:tc>
          <w:tcPr>
            <w:tcW w:type="dxa" w:w="5821"/>
            <w:tcMar>
              <w:top w:type="dxa" w:w="50"/>
              <w:left w:type="dxa" w:w="90"/>
              <w:bottom w:type="dxa" w:w="50"/>
              <w:right w:type="dxa" w:w="90"/>
            </w:tcMar>
          </w:tcPr>
          <w:p>
            <w:pPr>
              <w:spacing w:after="0" w:before="0"/>
            </w:pPr>
            <w:r>
              <w:rPr>
                <w:sz w:val="19"/>
                <w:szCs w:val="19"/>
              </w:rPr>
              <w:t xml:space="preserve">Each sampling round needs 3+ points per zone, 2 soil layers per point and 2 lab tests per sample; at least 3 control farms per project</w:t>
            </w:r>
          </w:p>
        </w:tc>
        <w:tc>
          <w:tcPr>
            <w:tcW w:type="dxa" w:w="2038"/>
            <w:tcMar>
              <w:top w:type="dxa" w:w="50"/>
              <w:left w:type="dxa" w:w="90"/>
              <w:bottom w:type="dxa" w:w="50"/>
              <w:right w:type="dxa" w:w="90"/>
            </w:tcMar>
          </w:tcPr>
          <w:p>
            <w:pPr>
              <w:spacing w:after="0" w:before="0"/>
            </w:pPr>
            <w:r>
              <w:rPr>
                <w:sz w:val="19"/>
                <w:szCs w:val="19"/>
              </w:rPr>
              <w:t xml:space="preserve">Operations</w:t>
            </w:r>
          </w:p>
        </w:tc>
      </w:tr>
      <w:tr>
        <w:trPr>
          <w:cantSplit/>
        </w:trPr>
        <w:tc>
          <w:tcPr>
            <w:tcW w:type="dxa" w:w="1358"/>
            <w:tcMar>
              <w:top w:type="dxa" w:w="50"/>
              <w:left w:type="dxa" w:w="90"/>
              <w:bottom w:type="dxa" w:w="50"/>
              <w:right w:type="dxa" w:w="90"/>
            </w:tcMar>
          </w:tcPr>
          <w:p>
            <w:pPr>
              <w:spacing w:after="0" w:before="0"/>
            </w:pPr>
            <w:r>
              <w:rPr>
                <w:sz w:val="19"/>
                <w:szCs w:val="19"/>
              </w:rPr>
              <w:t xml:space="preserve">6</w:t>
            </w:r>
          </w:p>
        </w:tc>
        <w:tc>
          <w:tcPr>
            <w:tcW w:type="dxa" w:w="5821"/>
            <w:tcMar>
              <w:top w:type="dxa" w:w="50"/>
              <w:left w:type="dxa" w:w="90"/>
              <w:bottom w:type="dxa" w:w="50"/>
              <w:right w:type="dxa" w:w="90"/>
            </w:tcMar>
          </w:tcPr>
          <w:p>
            <w:pPr>
              <w:spacing w:after="0" w:before="0"/>
            </w:pPr>
            <w:r>
              <w:rPr>
                <w:sz w:val="19"/>
                <w:szCs w:val="19"/>
              </w:rPr>
              <w:t xml:space="preserve">Methodology versions change over time</w:t>
            </w:r>
          </w:p>
        </w:tc>
        <w:tc>
          <w:tcPr>
            <w:tcW w:type="dxa" w:w="5821"/>
            <w:tcMar>
              <w:top w:type="dxa" w:w="50"/>
              <w:left w:type="dxa" w:w="90"/>
              <w:bottom w:type="dxa" w:w="50"/>
              <w:right w:type="dxa" w:w="90"/>
            </w:tcMar>
          </w:tcPr>
          <w:p>
            <w:pPr>
              <w:spacing w:after="0" w:before="0"/>
            </w:pPr>
            <w:r>
              <w:rPr>
                <w:sz w:val="19"/>
                <w:szCs w:val="19"/>
              </w:rPr>
              <w:t xml:space="preserve">A new version (e.g. VM0042 v2.3) needs a new calculation module</w:t>
            </w:r>
          </w:p>
        </w:tc>
        <w:tc>
          <w:tcPr>
            <w:tcW w:type="dxa" w:w="2038"/>
            <w:tcMar>
              <w:top w:type="dxa" w:w="50"/>
              <w:left w:type="dxa" w:w="90"/>
              <w:bottom w:type="dxa" w:w="50"/>
              <w:right w:type="dxa" w:w="90"/>
            </w:tcMar>
          </w:tcPr>
          <w:p>
            <w:pPr>
              <w:spacing w:after="0" w:before="0"/>
            </w:pPr>
            <w:r>
              <w:rPr>
                <w:sz w:val="19"/>
                <w:szCs w:val="19"/>
              </w:rPr>
              <w:t xml:space="preserve">Product / development</w:t>
            </w:r>
          </w:p>
        </w:tc>
      </w:tr>
    </w:tbl>
    <w:p>
      <w:pPr>
        <w:spacing w:after="120"/>
      </w:pPr>
    </w:p>
    <w:p>
      <w:pPr>
        <w:pStyle w:val="Heading1"/>
        <w:keepNext/>
      </w:pPr>
      <w:r>
        <w:t xml:space="preserve">Next steps</w:t>
      </w:r>
    </w:p>
    <w:p>
      <w:pPr>
        <w:pStyle w:val="ListParagraph"/>
        <w:numPr>
          <w:ilvl w:val="0"/>
          <w:numId w:val="2"/>
        </w:numPr>
        <w:spacing w:after="60"/>
      </w:pPr>
      <w:r>
        <w:t xml:space="preserve">Approve engaging a methodology expert for the VM0042 review.</w:t>
      </w:r>
    </w:p>
    <w:p>
      <w:pPr>
        <w:pStyle w:val="ListParagraph"/>
        <w:numPr>
          <w:ilvl w:val="0"/>
          <w:numId w:val="2"/>
        </w:numPr>
        <w:spacing w:after="60"/>
      </w:pPr>
      <w:r>
        <w:t xml:space="preserve">Confirm the standard and methodology for the first live project.</w:t>
      </w:r>
    </w:p>
    <w:p>
      <w:pPr>
        <w:pStyle w:val="ListParagraph"/>
        <w:numPr>
          <w:ilvl w:val="0"/>
          <w:numId w:val="2"/>
        </w:numPr>
        <w:spacing w:after="60"/>
      </w:pPr>
      <w:r>
        <w:t xml:space="preserve">Expert writes the eligibility rules and answers the electricity question.</w:t>
      </w:r>
    </w:p>
    <w:p>
      <w:pPr>
        <w:pStyle w:val="ListParagraph"/>
        <w:numPr>
          <w:ilvl w:val="0"/>
          <w:numId w:val="2"/>
        </w:numPr>
        <w:spacing w:after="60"/>
      </w:pPr>
      <w:r>
        <w:t xml:space="preserve">Record the production-readiness approval for VM0042 in the platform.</w:t>
      </w:r>
    </w:p>
    <w:p>
      <w:pPr>
        <w:pStyle w:val="ListParagraph"/>
        <w:numPr>
          <w:ilvl w:val="0"/>
          <w:numId w:val="2"/>
        </w:numPr>
        <w:spacing w:after="60"/>
      </w:pPr>
      <w:r>
        <w:t xml:space="preserve">Run the first live project; repeat the review for the next methodology we need.</w:t>
      </w:r>
    </w:p>
    <w:p>
      <w:pPr>
        <w:spacing w:after="120"/>
      </w:pPr>
      <w:r>
        <w:rPr>
          <w:b/>
          <w:bCs/>
        </w:rPr>
        <w:t xml:space="preserve">Further reading</w:t>
      </w:r>
    </w:p>
    <w:p>
      <w:pPr>
        <w:pStyle w:val="ListParagraph"/>
        <w:numPr>
          <w:ilvl w:val="0"/>
          <w:numId w:val="3"/>
        </w:numPr>
        <w:spacing w:after="60"/>
      </w:pPr>
      <w:r>
        <w:t xml:space="preserve">methodologies-guide.md</w:t>
      </w:r>
      <w:r>
        <w:t xml:space="preserve"> — plain-language explanation of each methodology and how the platform calculates it.</w:t>
      </w:r>
    </w:p>
    <w:p>
      <w:pPr>
        <w:pStyle w:val="ListParagraph"/>
        <w:numPr>
          <w:ilvl w:val="0"/>
          <w:numId w:val="3"/>
        </w:numPr>
        <w:spacing w:after="60"/>
      </w:pPr>
      <w:r>
        <w:t xml:space="preserve">methodologies-reference.md</w:t>
      </w:r>
      <w:r>
        <w:t xml:space="preserve"> — technical reference: every rule, input, factor and output (for the expert reviewer).</w:t>
      </w:r>
    </w:p>
    <w:sectPr>
      <w:headerReference w:type="default" r:id="rId6"/>
      <w:footerReference w:type="default" r:id="rId7"/>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Carbon Platform — Methodologies: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5C3A"/>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5C3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Platform — Methodologies: executive brief</dc:title>
  <dc:creator>Carbon Platform team</dc:creator>
  <cp:lastModifiedBy>Un-named</cp:lastModifiedBy>
  <cp:revision>1</cp:revision>
  <dcterms:created xsi:type="dcterms:W3CDTF">2026-10-09T07:24:37.293Z</dcterms:created>
  <dcterms:modified xsi:type="dcterms:W3CDTF">2026-10-09T07:24:37.294Z</dcterms:modified>
</cp:coreProperties>
</file>

<file path=docProps/custom.xml><?xml version="1.0" encoding="utf-8"?>
<Properties xmlns="http://schemas.openxmlformats.org/officeDocument/2006/custom-properties" xmlns:vt="http://schemas.openxmlformats.org/officeDocument/2006/docPropsVTypes"/>
</file>