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32"/>
        </w:rPr>
        <w:t>「2026년 국토·교통 데이터 활용 경진대회」</w:t>
        <w:br/>
        <w:t>제품/서비스 개발 기획서</w:t>
      </w:r>
    </w:p>
    <w:p>
      <w:r>
        <w:rPr>
          <w:rFonts w:ascii="맑은 고딕" w:hAnsi="맑은 고딕" w:eastAsia="맑은 고딕"/>
          <w:b w:val="0"/>
          <w:sz w:val="18"/>
        </w:rPr>
        <w:t>* 작성분량 : 최대 3장(별첨 제외, 분량 엄수)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Merge w:val="restart"/>
            <w:shd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가점 자가체크</w:t>
              <w:br/>
              <w:t>(심사 후 반영)</w:t>
            </w:r>
          </w:p>
        </w:tc>
        <w:tc>
          <w:tcPr>
            <w:tcW w:type="dxa" w:w="498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☑ 가명정보 결합   ☑ 주관기관 융합데이터   ☑ 안심구역 활용   ☑ AI 활용*</w:t>
              <w:br/>
              <w:t>(☑ AI 학습도구, ☑ AI 분석도구)</w:t>
            </w:r>
          </w:p>
        </w:tc>
      </w:tr>
      <w:tr>
        <w:tc>
          <w:tcPr>
            <w:tcW w:type="dxa" w:w="4986"/>
            <w:vMerge/>
          </w:tcPr>
          <w:p/>
        </w:tc>
        <w:tc>
          <w:tcPr>
            <w:tcW w:type="dxa" w:w="4986"/>
          </w:tcPr>
          <w:p>
            <w:r>
              <w:rPr>
                <w:rFonts w:ascii="맑은 고딕" w:hAnsi="맑은 고딕" w:eastAsia="맑은 고딕"/>
                <w:b w:val="0"/>
                <w:i/>
                <w:sz w:val="18"/>
              </w:rPr>
              <w:t>ex) 한국도로공사 VDS·돌발 + 한국교통안전공단 DTG·V2X 융합</w:t>
            </w:r>
          </w:p>
        </w:tc>
      </w:tr>
    </w:tbl>
    <w:p>
      <w:pPr>
        <w:spacing w:before="0" w:after="0"/>
        <w:ind w:left="0"/>
      </w:pPr>
      <w:r>
        <w:rPr>
          <w:rFonts w:ascii="맑은 고딕" w:hAnsi="맑은 고딕" w:eastAsia="맑은 고딕"/>
          <w:b w:val="0"/>
          <w:sz w:val="16"/>
        </w:rPr>
        <w:t>* AI학습도구 및 AI분석도구를 활용한 아이디어 및 제품/서비스에 한하여 가점 부여 (증빙자료 제출)</w:t>
      </w:r>
    </w:p>
    <w:p>
      <w:pPr>
        <w:spacing w:before="0" w:after="0"/>
        <w:ind w:left="0"/>
      </w:pPr>
      <w:r>
        <w:rPr>
          <w:rFonts w:ascii="맑은 고딕" w:hAnsi="맑은 고딕" w:eastAsia="맑은 고딕"/>
          <w:b w:val="0"/>
          <w:sz w:val="16"/>
        </w:rPr>
        <w:t>* AI 학습도구: PyTorch Transformer (Risk Transformer, AUC 0.9403, 10,000 train, 15 epoch)</w:t>
      </w:r>
    </w:p>
    <w:p>
      <w:pPr>
        <w:spacing w:before="0" w:after="0"/>
        <w:ind w:left="0"/>
      </w:pPr>
      <w:r>
        <w:rPr>
          <w:rFonts w:ascii="맑은 고딕" w:hAnsi="맑은 고딕" w:eastAsia="맑은 고딕"/>
          <w:b w:val="0"/>
          <w:sz w:val="16"/>
        </w:rPr>
        <w:t>* AI 분석도구: Google ML Kit ObjectDetector (on-device 객체 검출) + ImageLabeler (400+ 라벨)</w:t>
      </w:r>
    </w:p>
    <w:p>
      <w:pPr>
        <w:spacing w:before="0" w:after="160"/>
        <w:ind w:left="0"/>
      </w:pPr>
      <w:r>
        <w:rPr>
          <w:rFonts w:ascii="맑은 고딕" w:hAnsi="맑은 고딕" w:eastAsia="맑은 고딕"/>
          <w:b w:val="0"/>
          <w:sz w:val="16"/>
        </w:rPr>
        <w:t>* 증빙: models/risk_transformer_trained_metric.json · https://auraview.allthatai.kr/ai/model-card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□ 아이템명</w:t>
      </w:r>
    </w:p>
    <w:p>
      <w:pPr>
        <w:spacing w:before="0" w:after="160"/>
        <w:ind w:left="0"/>
      </w:pPr>
      <w:r>
        <w:rPr>
          <w:rFonts w:ascii="맑은 고딕" w:hAnsi="맑은 고딕" w:eastAsia="맑은 고딕"/>
          <w:b/>
          <w:sz w:val="22"/>
        </w:rPr>
        <w:t>AuraView K-Perception — 25종 공공데이터 융합 + V2V 협업 인지 기반 한국 도로 안전 AI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□ 제안배경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/>
            <w:vAlign w:val="center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제품·서비스의 개발 배경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개발동기, 아이템의 부재로 불편한점, 국내외 시장의 문제점 등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아이템의 필요성 등</w:t>
            </w:r>
          </w:p>
        </w:tc>
      </w:tr>
    </w:tbl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일반 ADAS 의 구조적 한계와 그로 인한 인명 피해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TAAS 2024 기준 연 사망 2,581명, 부상 290,400명 (도시 교차로 사고 46%)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트럭·버스에 가려진 신호등·보행자 사고가 전체 22% — occlusion 미해결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일반 ADAS 선행경고 0.5~1초 → 시속 60km 회피거리 8~16m, 회피 성공률 25% 미만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글로벌 솔루션의 한국 특수 환경 미반영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Tesla FSD 등은 자기 차량 시점만 활용, V2V 협업 인지 없음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한국 8 시나리오 (트럭 가림 · 이륜 사각 · 우회전 보행자 · 스쿨존 · 자전거 · 야간 · 신호 가림 · 우천) 미반영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민식이법(12조) · 우회전 보행자법(25조 4항) 강화 후 형사 책임 부담 급증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국토부·공공기관 보유 데이터의 환원 부족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한국도로공사 VDS·돌발, 도로교통공단 TAAS·신호, 한국교통안전공단 DTG·V2X 등 25종 보유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데이터안심구역(DSZ) 가명결합 결과가 정책 보고서로만 머물고 운전자 실시간 활용 부재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본 아이템: 25종 공공데이터 + V2V 협업으로 평균 3.38초 선행 경고 (회피 성공률 84.5%)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□ 세부내용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/>
            <w:vAlign w:val="center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아이템의 개발 및 사업화 전략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제품·서비스 구현을 위해 필요한 개인데이터 및 보유기관, 확보방안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아이템 개요, 구현기술, 서비스 방법 등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기존 유사 제품·서비스와의 차별점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개발 제품·서비스만의 경쟁력 확보 방안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서비스의 예상 UI/UX 이미지 등(필요시)</w:t>
            </w:r>
          </w:p>
        </w:tc>
      </w:tr>
    </w:tbl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아이템 개요 — 블랙박스 1대 + 25종 공공데이터 + AI 융합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입력: 일반 스마트폰/블랙박스 후면 카메라 (특수 H/W 불필요, Galaxy Z Fold 3 검증)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AI 엔진: 자체 학습 Risk Transformer (PyTorch · AUC 0.9403 · p99 1.04ms · 278KB on-device)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융합: 25종 공공데이터 실시간 호출 → 단일 JSON (fusion.v11-2026.05.25-25src)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출력: 햅틱 3-burst + 음성 안내 + V2V 광역 broadcast (heading 130°+)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필요한 공공데이터 및 보유기관 (주관기관 융합 가점)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한국도로공사 (주관): VDS 실시간 소통·돌발상황·노면 RWIS·도로 노후도 → data.ex.co.kr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한국교통안전공단 (주관): 자동차검사·DTG 운행기록·V2X 자율주행 허브 → apis.data.go.kr/B552014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도로교통공단: 신호 실시간 위상·TAAS 사고이력·보행자다발·통학로 → 공공데이터포털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국토교통부: ITS 표준링크·DSZ 안심구역·vworld 스쿨존/횡단보도 → openapi.its.go.kr, dsz.ex.co.kr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기상청·환경부·소방청·보건복지부: KMA 동네예보·결빙·PM10·119 출동·E-Gen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보조 2종 no-key: USGS 지진 (M2.0+), OSM 철도건널목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구현 기술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백엔드: FastAPI · Python 3.11 · 149+ 엔드포인트 · Docker 한 줄 가동 · 융합 응답 p50 180ms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모바일: Flutter · Dart · 카메라 frame → 위치/속도 게이트 → 익명 위험 이벤트 업로드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AI 학습: PyTorch Transformer (가중치 published, 67,970 params)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AI 분석: Google ML Kit ObjectDetector + ImageLabeler (단말 on-device)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가명결합: HMAC-SHA256 + k≥5 익명 + TAAS×VDS 결합 (개인정보보호법 28조의2)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기존 유사 제품·서비스와의 차별점 (한국 특화 5종)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V2V 협업 인지: Tesla 는 자기 시점만 / AuraView 는 heading 130°+ Cross-Vehicle 가중 0.95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Bus-Aware: 정류장 dwelling/passing 보행자 prior +0.55 boost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Bidirectional Lane: 마주오는 차로 분석 + VDS 비대칭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신호 API 결합: vision only 가 아닌 도로교통공단 신호 API + ITS 직접 호출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정책 환원: 위험 교차로 Top-N 자동 리포트 + DSZ 가명결합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경쟁력 확보 방안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데이터 깊이: 글로벌 fleet 학습 대비 한국 공공 인프라 25종 + 사용자 fleet → cold-start 우위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법적 적합성: 8 시나리오에 도로교통법 + 대법원 판례 매핑 (/policy/laws)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오픈 검증: MIT GitHub + 119/119 pytest PASS + 단일 URL 자가 진단 (9 게이트)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DSZ 완전 자동화: 반입→결합→반출 SHA-256 해시 검증 + 감사 로그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UI/UX (예상 화면)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상단: 실시간 카메라 + 검출 객체 cyan bounding box 오버레이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하단: 위험 점수 게이지 (3단) + 4축 라이브 (entropy·motion·voxel·검출 카운트)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위험 발화 시: 햅틱 3-burst + 음성 "전방 신호 가림, 즉시 정지" + V2V 200m 반경 broadcast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운영자 대시보드: 위험 교차로 Top-N 히트맵 + 정책 PDF 자동 생성 (3-page A4)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□ 아이템의 실효성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/>
            <w:vAlign w:val="center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제품·서비스의 핵심 고객, 국내외 시장규모, 고객 편의 효과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개발된 제품의 매출 가능성 및 수익구조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서비스의 확장 계획</w:t>
            </w:r>
          </w:p>
        </w:tc>
      </w:tr>
    </w:tbl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핵심 고객 3 segment + 시장규모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B2C 일반 운전자: 국내 블랙박스 보급 1,500만 대 (보급률 90%+)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B2B 영업용 운수: 사업용 차량 50만 대 (택시·버스·화물, DTG 의무)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B2G 지자체·국토부: 17 시도 + 226 시군구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국내 ADAS·블랙박스 시장 연 1.2조원 (한국자동차연구원 2024)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국내 V2X 시장 2030년 3,800억원 (정부 미래차 산업육성)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고객 편의 효과 (정량)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운전자: 평균 3.38초 선행 경고 → 회피 성공률 25% → 84.5%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운수업체: DTG 위험운전 패턴 자동 식별 → 사고율 평균 30% 감소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지자체: 위험 교차로 정량 데이터 → 신호 주기 조정 의사결정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수익 모델 + 매출 추정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B2C Free + Premium: 무료 + 월 4,900원 (V2V 광역 알림·HUD 미러링)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B2B SaaS: 차량당 월 9,900원, 50만대 × 10% 보급 시 연 59억원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B2G 정책 리포트: 지자체당 연 2,000만원, 226 × 30% 보급 시 연 13.5억원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3년 매출 추정: 1년차 5억 / 2년차 20억 / 3년차 70억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서비스의 확장 계획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마이데이터 결합: 동의 기반 운전 행태 데이터 → 보험사 (보험료 할인), 정비소 (차량 진단)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자율주행 V2X 데이터셋: 익명 충돌 직전 frame → 국토부 av-hub 기여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해외 진출: 일본·태국·베트남 (한국형 도시 도로 환경) — 현지 공공데이터 어댑터만 교체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□ 기대효과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/>
            <w:vAlign w:val="center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사회 파급(기대 효과)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제품·서비스 실현 시 발생하는 사회적, 경제학적 이득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아이템이 사용자 및 일반 국민에게 미치는 영향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+ 기대효과</w:t>
            </w:r>
          </w:p>
        </w:tc>
      </w:tr>
    </w:tbl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정량 사회 임팩트 (TAAS 2024 baseline · lead=3.38s)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Pilot 5%   : 사고 1,694건 / 사망 21명 / 부상 2,370명 / 사회비용 절감 약 2,800억원/년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확산 25%   : 사고 8,470건 / 사망 105명 / 부상 11,852명 / 절감 약 1조 4,000억원/년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전국 100%  : 사고 33,880건 / 사망 421명 / 부상 47,408명 / 절감 약 5조 6,000억원/년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산출 공식: TAAS_annual × 0.46 (urban) × 0.42 (scenario) × min(0.85, 0.25 × lead) × coverage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우선순위 도입 시 단기 효과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위험 교차로 Top-10 (서울) 만 도입 → 연 사망·중상 85명 예방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강남역 11.8 / 잠실역 10.1 / 광화문 9.3 / 신촌 8.4 / 영등포 7.2 / …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라이브 데이터: https://auraview.allthatai.kr/impact/top-intersections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일반 국민에 미치는 영향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일반 운전자: 민식이법·우회전 강화 책임 부담 → 객관적 회피 데이터 보유로 형사 위험 감소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보행 약자 (어린이·고령자): 스쿨존·실버존·횡단보도 진입 차량 자동 알림 → 보행 사망률 감소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영업용 운수 종사자: DTG 위험운전 자동 알림 → 졸음·과속 사전 차단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□ 기 타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/>
            <w:vAlign w:val="center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공모작에 대한 기타 추가 내용이 있을 경우 작성</w:t>
            </w:r>
          </w:p>
          <w:p>
            <w:pPr>
              <w:spacing w:before="0" w:after="4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전문성 및 사업역량 등 창업의지 홍보</w:t>
            </w:r>
          </w:p>
        </w:tc>
      </w:tr>
    </w:tbl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검증 자산 (제출 시 라이브 URL 함께 노출)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자가 진단 단일 URL (9 게이트): https://auraview.allthatai.kr/impact/submission-ready → ready=true, 9/9 PASS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라이브 시스템 헬스: https://auraview.allthatai.kr/metrics/audit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즉석 기획서 PDF (호출 시점 git_sha 반영, 3-page A4): https://auraview.allthatai.kr/impact/proposal-pdf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25 소스 카탈로그: https://auraview.allthatai.kr/fusion/sources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위험 교차로 Top-N: https://auraview.allthatai.kr/impact/top-intersections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GitHub (MIT 오픈소스): https://github.com/leelang7/AuraView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법적 컴플라이언스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코드: MIT License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공공데이터: 각 출처 약관 준수 (대부분 CC-BY-3.0 호환)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PII (얼굴/번호판) 자동 블러: 개인정보보호법 3조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가명결합 k≥5: 개인정보보호법 28조의2 (가명정보 처리 특례)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DSZ 안심구역: 국토교통부 훈령 1456호 (반입→결합→반출 SHA-256 검증)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전문성 및 사업역량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자동 테스트: 119/119 pytest PASS (backend/tests/)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CI/CD: GitHub Actions 자동 검증 (Python + Flutter analyze)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149+ API 엔드포인트 그룹별 정리 (/metrics/api-directory)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AI 학습 증빙: models/risk_transformer_trained_metric.json (가중치 + 학습 로그 공개)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라이브 서비스 24/7 가동 (Render 배포 + Docker 한 줄 가동)</w:t>
      </w:r>
    </w:p>
    <w:p>
      <w:pPr>
        <w:spacing w:after="40"/>
        <w:ind w:left="283"/>
      </w:pPr>
      <w:r>
        <w:rPr>
          <w:rFonts w:ascii="맑은 고딕" w:hAnsi="맑은 고딕" w:eastAsia="맑은 고딕"/>
          <w:b w:val="0"/>
          <w:sz w:val="20"/>
        </w:rPr>
        <w:t>o  창업 의지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개인 개발 → MIT 오픈소스 사회 환원 + B2B/B2G 수익 모델 추진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한국 공공데이터 사회 환원 모범 사례 — DSZ 결합 결과를 정책 보고서가 아닌 실시간 차량 알림으로 전달하는 첫 사례</w:t>
      </w:r>
    </w:p>
    <w:p>
      <w:pPr>
        <w:spacing w:after="40"/>
        <w:ind w:left="850"/>
      </w:pPr>
      <w:r>
        <w:rPr>
          <w:rFonts w:ascii="맑은 고딕" w:hAnsi="맑은 고딕" w:eastAsia="맑은 고딕"/>
          <w:b w:val="0"/>
          <w:sz w:val="20"/>
        </w:rPr>
        <w:t>-  평가자가 어느 시점에 검증해도 동일 진실 응답 — git_sha + tests_passing + live_count 호출 시점 동기화</w:t>
      </w:r>
    </w:p>
    <w:p>
      <w:pPr>
        <w:spacing w:before="320"/>
      </w:pPr>
      <w:r>
        <w:rPr>
          <w:rFonts w:ascii="맑은 고딕" w:hAnsi="맑은 고딕" w:eastAsia="맑은 고딕"/>
          <w:b/>
          <w:sz w:val="18"/>
        </w:rPr>
        <w:t>── 별첨 (분량 외) ──</w:t>
      </w:r>
    </w:p>
    <w:p>
      <w:pPr>
        <w:spacing w:before="0" w:after="0"/>
        <w:ind w:left="283"/>
      </w:pPr>
      <w:r>
        <w:rPr>
          <w:rFonts w:ascii="맑은 고딕" w:hAnsi="맑은 고딕" w:eastAsia="맑은 고딕"/>
          <w:b w:val="0"/>
          <w:sz w:val="18"/>
        </w:rPr>
        <w:t>- GitHub README · LICENSE · CHANGELOG</w:t>
      </w:r>
    </w:p>
    <w:p>
      <w:pPr>
        <w:spacing w:before="0" w:after="0"/>
        <w:ind w:left="283"/>
      </w:pPr>
      <w:r>
        <w:rPr>
          <w:rFonts w:ascii="맑은 고딕" w:hAnsi="맑은 고딕" w:eastAsia="맑은 고딕"/>
          <w:b w:val="0"/>
          <w:sz w:val="18"/>
        </w:rPr>
        <w:t>- 25 sources 카탈로그 JSON (/fusion/sources 응답)</w:t>
      </w:r>
    </w:p>
    <w:p>
      <w:pPr>
        <w:spacing w:before="0" w:after="0"/>
        <w:ind w:left="283"/>
      </w:pPr>
      <w:r>
        <w:rPr>
          <w:rFonts w:ascii="맑은 고딕" w:hAnsi="맑은 고딕" w:eastAsia="맑은 고딕"/>
          <w:b w:val="0"/>
          <w:sz w:val="18"/>
        </w:rPr>
        <w:t>- Risk Transformer 학습 메트릭 (models/risk_transformer_trained_metric.json)</w:t>
      </w:r>
    </w:p>
    <w:p>
      <w:pPr>
        <w:spacing w:before="0" w:after="0"/>
        <w:ind w:left="283"/>
      </w:pPr>
      <w:r>
        <w:rPr>
          <w:rFonts w:ascii="맑은 고딕" w:hAnsi="맑은 고딕" w:eastAsia="맑은 고딕"/>
          <w:b w:val="0"/>
          <w:sz w:val="18"/>
        </w:rPr>
        <w:t>- 도로교통법 8 시나리오 매핑 (/policy/laws)</w:t>
      </w:r>
    </w:p>
    <w:p>
      <w:pPr>
        <w:spacing w:before="0" w:after="0"/>
        <w:ind w:left="283"/>
      </w:pPr>
      <w:r>
        <w:rPr>
          <w:rFonts w:ascii="맑은 고딕" w:hAnsi="맑은 고딕" w:eastAsia="맑은 고딕"/>
          <w:b w:val="0"/>
          <w:sz w:val="18"/>
        </w:rPr>
        <w:t>- Native APK v12.170 (auraview_fleet/build/app/outputs/flutter-apk/app-release.apk · 56MB)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