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맑은 고딕" w:hAnsi="맑은 고딕" w:eastAsia="맑은 고딕"/>
          <w:b/>
          <w:sz w:val="28"/>
        </w:rPr>
        <w:t>「2026년 국토·교통 데이터 활용 경진대회」</w:t>
      </w:r>
    </w:p>
    <w:p>
      <w:pPr>
        <w:spacing w:after="120"/>
        <w:jc w:val="center"/>
      </w:pPr>
      <w:r>
        <w:rPr>
          <w:rFonts w:ascii="맑은 고딕" w:hAnsi="맑은 고딕" w:eastAsia="맑은 고딕"/>
          <w:b/>
          <w:sz w:val="28"/>
        </w:rPr>
        <w:t>제품/서비스 개발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Merge w:val="restart"/>
            <w:shd w:fill="E7E6E6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sz w:val="18"/>
              </w:rPr>
              <w:t>가점 자가체크</w:t>
              <w:br/>
              <w:t>(심사 후 반영)</w:t>
            </w:r>
          </w:p>
        </w:tc>
        <w:tc>
          <w:tcPr>
            <w:tcW w:type="dxa" w:w="5100"/>
          </w:tcPr>
          <w:p>
            <w:r>
              <w:rPr>
                <w:rFonts w:ascii="맑은 고딕" w:hAnsi="맑은 고딕" w:eastAsia="맑은 고딕"/>
                <w:b/>
                <w:sz w:val="20"/>
              </w:rPr>
              <w:t>☑ 가명정보 결합   ☑ 주관기관 융합데이터   ☑ 안심구역 활용   ☑ AI 활용 (☑ 학습도구, ☑ 분석도구)</w:t>
            </w:r>
          </w:p>
        </w:tc>
      </w:tr>
      <w:tr>
        <w:tc>
          <w:tcPr>
            <w:tcW w:type="dxa" w:w="5100"/>
            <w:vMerge/>
          </w:tcPr>
          <w:p/>
        </w:tc>
        <w:tc>
          <w:tcPr>
            <w:tcW w:type="dxa" w:w="5100"/>
          </w:tcPr>
          <w:p>
            <w:r>
              <w:rPr>
                <w:rFonts w:ascii="맑은 고딕" w:hAnsi="맑은 고딕" w:eastAsia="맑은 고딕"/>
                <w:b w:val="0"/>
                <w:i/>
                <w:sz w:val="18"/>
              </w:rPr>
              <w:t>주관기관 융합: 한국도로공사 VDS·돌발 + 한국교통안전공단 DTG·V2X</w:t>
            </w:r>
          </w:p>
        </w:tc>
      </w:tr>
    </w:tbl>
    <w:p>
      <w:pPr>
        <w:spacing w:before="160" w:after="0"/>
      </w:pPr>
      <w:r>
        <w:rPr>
          <w:rFonts w:ascii="맑은 고딕" w:hAnsi="맑은 고딕" w:eastAsia="맑은 고딕"/>
          <w:b/>
          <w:sz w:val="24"/>
        </w:rPr>
        <w:t>□ 아이템명</w:t>
      </w:r>
    </w:p>
    <w:p>
      <w:pPr>
        <w:spacing w:after="0"/>
        <w:ind w:left="170"/>
      </w:pPr>
      <w:r>
        <w:rPr>
          <w:rFonts w:ascii="맑은 고딕" w:hAnsi="맑은 고딕" w:eastAsia="맑은 고딕"/>
          <w:b/>
          <w:color w:val="0066CC"/>
          <w:sz w:val="22"/>
        </w:rPr>
        <w:t>AuraView K-Perception</w:t>
      </w:r>
      <w:r>
        <w:rPr>
          <w:rFonts w:ascii="맑은 고딕" w:hAnsi="맑은 고딕" w:eastAsia="맑은 고딕"/>
          <w:b/>
          <w:sz w:val="20"/>
        </w:rPr>
        <w:t xml:space="preserve"> : 25종 공공데이터 융합 + V2V 협업 인지 기반 한국 도로 안전 AI 블랙박스 플랫폼</w:t>
      </w:r>
    </w:p>
    <w:p>
      <w:pPr>
        <w:spacing w:before="120" w:after="0"/>
      </w:pPr>
      <w:r>
        <w:rPr>
          <w:rFonts w:ascii="맑은 고딕" w:hAnsi="맑은 고딕" w:eastAsia="맑은 고딕"/>
          <w:b/>
          <w:sz w:val="24"/>
        </w:rPr>
        <w:t>□ 활용 데이터 (제공기관명)</w:t>
      </w:r>
    </w:p>
    <w:p>
      <w:pPr>
        <w:spacing w:after="0" w:line="276" w:lineRule="auto"/>
        <w:ind w:left="170"/>
      </w:pPr>
      <w:r>
        <w:rPr>
          <w:rFonts w:ascii="맑은 고딕" w:hAnsi="맑은 고딕" w:eastAsia="맑은 고딕"/>
          <w:b w:val="0"/>
          <w:sz w:val="19"/>
        </w:rPr>
        <w:t>한국도로공사(VDS·돌발·RWIS·도로노후도), 한국교통안전공단(자동차검사·DTG·V2X 자율주행허브), 국토교통부(ITS 표준링크·DSZ 안심구역·스쿨존/횡단보도 GIS), 도로교통공단(신호 위상·TAAS·보행자 다발지점·통학로), 기상청(KMA 결빙·강수), 환경부·환경공단(미세먼지·EV 충전소), 소방청·보건복지부(119·E-Gen 응급실), 경찰청·행안부·서울시(단속 CCTV·교량 노후도·따릉이) — 총 25종</w:t>
      </w:r>
    </w:p>
    <w:p>
      <w:pPr>
        <w:spacing w:before="120" w:after="0"/>
      </w:pPr>
      <w:r>
        <w:rPr>
          <w:rFonts w:ascii="맑은 고딕" w:hAnsi="맑은 고딕" w:eastAsia="맑은 고딕"/>
          <w:b/>
          <w:sz w:val="24"/>
        </w:rPr>
        <w:t>□ 핵심내용 (요약)</w:t>
      </w:r>
    </w:p>
    <w:p>
      <w:pPr>
        <w:spacing w:after="0" w:line="288" w:lineRule="auto"/>
        <w:ind w:left="170"/>
      </w:pPr>
      <w:r>
        <w:rPr>
          <w:rFonts w:ascii="맑은 고딕" w:hAnsi="맑은 고딕" w:eastAsia="맑은 고딕"/>
          <w:b w:val="0"/>
          <w:sz w:val="19"/>
        </w:rPr>
        <w:t>스마트폰 카메라 1대로 25종 공공데이터를 실시간 융합하고 V2V 차량 간 협업 인지를 결합하여, 평균 3.38초 사전 위험 경고를 제공하는 한국 도로 특화 AI 블랙박스 플랫폼임. 가명결합(개보법 28조의2)·DSZ 안심구역(국토부 훈령 1456호) 절차를 준수하고, 한국 8 시나리오(트럭 사각·이륜·신호 가림·우천·우회전·스쿨존·자전거·야간)에 특화된 자체 Transformer(AUC 0.9403)와 Google ML Kit를 결합하여 운전자 회피 성공률 25% → 84.5%로 향상시킴. B2C·B2B·B2G 모델 운영, 전국 확산 시 연 사망 421명·사회비용 5조 6,000억 원 절감 효과 기대.</w:t>
      </w:r>
    </w:p>
    <w:p>
      <w:pPr>
        <w:spacing w:before="80" w:after="20"/>
      </w:pPr>
      <w:r>
        <w:rPr>
          <w:rFonts w:ascii="맑은 고딕" w:hAnsi="맑은 고딕" w:eastAsia="맑은 고딕"/>
          <w:b/>
          <w:sz w:val="22"/>
        </w:rPr>
        <w:t>□ 제안배경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국내 교통사고 현황 (TAAS 2024)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연간 사망 2,581명·부상 290,400명 / 도시 교차로 사고 46% / 시야 가림 22% (트럭·버스 후방)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기존 ADAS 솔루션의 구조적 한계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단일 카메라 시점 → 가려진 영역 사전 인지 불가 / 선행경고 0.5~1초로 회피 성공률 25% 미만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Tesla FSD 등은 한국 8 시나리오(트럭·이륜·신호·우천·우회전·스쿨존·자전거·야간) 미반영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한국 도로 특수성과 제도적 요구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민식이법(도교법 12조) / 우회전 보행자 일시정지(25조 4항, 2022 개정) 운전자 형사 책임 강화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운전자에게 객관적 회피 데이터 제공 서비스 부재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공공데이터 사회 환원 부족 → 본 아이템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한국도로공사·교통안전공단·국토부 등 25종 보유, DSZ 결합 결과가 정책 보고서로만 머묾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본 아이템: 25종 융합 + V2V로 평균 3.38초 선행경고 → 회피 성공률 84.5% (KOTI ITS 효과 모델)</w:t>
      </w:r>
    </w:p>
    <w:p>
      <w:pPr>
        <w:spacing w:before="80" w:after="20"/>
      </w:pPr>
      <w:r>
        <w:rPr>
          <w:rFonts w:ascii="맑은 고딕" w:hAnsi="맑은 고딕" w:eastAsia="맑은 고딕"/>
          <w:b/>
          <w:sz w:val="22"/>
        </w:rPr>
        <w:t>□ 세부내용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시스템 구성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입력: 일반 스마트폰 또는 블랙박스 후면 카메라 1대 (특수 H/W 불필요)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단말 추론: AI 객체 검출(Google ML Kit) + 자체 학습 위험 추정 모델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서버 융합: 25종 공공데이터 실시간 호출 → 단일 응답 결합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출력: 햅틱 · 음성 안내 · 차량 간 직접 통신(V2V) 알림 (반경 200m)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활용 공공데이터 및 보유기관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구분</w:t>
            </w:r>
          </w:p>
        </w:tc>
        <w:tc>
          <w:tcPr>
            <w:tcW w:type="dxa" w:w="340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보유기관 · 데이터</w:t>
            </w:r>
          </w:p>
        </w:tc>
        <w:tc>
          <w:tcPr>
            <w:tcW w:type="dxa" w:w="340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활용 / 가중치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주관기관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한국도로공사 · VDS · 돌발 · 노면(RWIS) · 도로 노후도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교통 흐름 · 노면 결빙 +0.35 · 노후 +0.10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주관기관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한국교통안전공단 · 자동차검사 · DTG · V2X 자율주행 허브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구별 부적합률 · 사업용 위험운전 +0.10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국내공공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도로교통공단 · 신호 위상 · TAAS · 보행자 다발 · 통학로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신호 가림 +0.55 · 보행자 prior +0.30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국내공공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국토교통부 · ITS 표준링크 · DSZ · 스쿨존/횡단보도 GIS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가명결합 k≥5 · 스쿨존 +0.62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국내공공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기상청 · 환경부 · 환경공단 · KMA · 결빙 · 미세먼지 · EV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우천 +0.18 · 블랙아이스 +0.32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국내공공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소방청 · 보건복지부 · 119 · E-Gen 응급실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골든타임 · 심각도 ×1.34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국내공공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경찰청 · 행안부 · 서울시 · 단속 CCTV · 노후 · 따릉이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단속 prior · 자전거 prior +0.22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보조(no-key)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USGS 지진 · OSM 철도건널목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터널/교량 +0.02 · 건널목 +0.10</w:t>
            </w:r>
          </w:p>
        </w:tc>
      </w:tr>
    </w:tbl>
    <w:p>
      <w:pPr>
        <w:spacing w:after="0" w:line="252" w:lineRule="auto"/>
        <w:ind w:left="397"/>
      </w:pPr>
      <w:r>
        <w:rPr>
          <w:rFonts w:ascii="맑은 고딕" w:hAnsi="맑은 고딕" w:eastAsia="맑은 고딕"/>
          <w:b w:val="0"/>
          <w:color w:val="707070"/>
          <w:sz w:val="16"/>
        </w:rPr>
        <w:t>※ 공공데이터포털(data.go.kr) 인증키 발급 + 글로벌 오픈데이터(USGS, OSM) 활용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AI 활용 (학습도구 + 분석도구 가점)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학습도구: PyTorch 자체 학습 Transformer (AUC 0.9403 · 278KB 단말 임베드)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분석도구: Google ML Kit (객체 검출 + 400+ 카테고리 라벨링)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기존 솔루션 대비 차별점 (한국 특화 5종)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항목</w:t>
            </w:r>
          </w:p>
        </w:tc>
        <w:tc>
          <w:tcPr>
            <w:tcW w:type="dxa" w:w="340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Tesla FSD 등 글로벌 솔루션</w:t>
            </w:r>
          </w:p>
        </w:tc>
        <w:tc>
          <w:tcPr>
            <w:tcW w:type="dxa" w:w="340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AuraView K-Perception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차량 간 협업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자기 차량 시점만 인지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V2V Cross-Vehicle (heading 130° 이상 가중)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정류장 prior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보행자 일반 분류만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Bus-Aware (정차/주행 보행자 prior +0.55)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마주오는 차로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단방향 차로 모델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Bidirectional + VDS 비대칭 분석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공공 신호 결합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vision-only 신호 인식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도로교통공단 신호 API + ITS 직접 결합</w:t>
            </w:r>
          </w:p>
        </w:tc>
      </w:tr>
      <w:tr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정책 환원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내부 데이터 폐쇄</w:t>
            </w:r>
          </w:p>
        </w:tc>
        <w:tc>
          <w:tcPr>
            <w:tcW w:type="dxa" w:w="340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위험 교차로 Top-N 자동 리포트 + DSZ 결합</w:t>
            </w:r>
          </w:p>
        </w:tc>
      </w:tr>
    </w:tbl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가명결합·DSZ 안심구역 활용 (가점 항목)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가명화 HMAC-SHA256 + TAAS×VDS×신호 결합 k≥5 (개보법 28조의2)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DSZ 반입→결합→분석→반출 + SHA-256 감사 로그 (국토부 훈령 1456호)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서비스 화면 구성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상단 카메라 + 검출 박스 / 하단 위험 점수 + 4축 라이브 인디케이터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위험 발화 시: 햅틱 + 음성 + V2V 200m broadcast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운영자 대시보드: 위험 교차로 히트맵 + 정책 PDF 자동 생성</w:t>
      </w:r>
    </w:p>
    <w:p>
      <w:pPr>
        <w:spacing w:before="80" w:after="20"/>
      </w:pPr>
      <w:r>
        <w:rPr>
          <w:rFonts w:ascii="맑은 고딕" w:hAnsi="맑은 고딕" w:eastAsia="맑은 고딕"/>
          <w:b/>
          <w:sz w:val="22"/>
        </w:rPr>
        <w:t>□ 아이템의 실효성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핵심 고객 및 시장규모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B2C 일반 운전자(블랙박스 보급 1,500만 대) / B2B 영업용 운수(사업용 50만 대 DTG)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B2G 지자체·정부(17 광역 + 226 시군구) / 국내 ADAS 시장 1.2조원·V2X 2030년 3,800억원</w:t>
      </w:r>
    </w:p>
    <w:p>
      <w:pPr>
        <w:spacing w:after="0" w:line="252" w:lineRule="auto"/>
        <w:ind w:left="397"/>
      </w:pPr>
      <w:r>
        <w:rPr>
          <w:rFonts w:ascii="맑은 고딕" w:hAnsi="맑은 고딕" w:eastAsia="맑은 고딕"/>
          <w:b w:val="0"/>
          <w:color w:val="707070"/>
          <w:sz w:val="16"/>
        </w:rPr>
        <w:t>※ 한국자동차연구원 ADAS 시장 전망 2024 · 국토교통부 미래차 산업육성 계획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고객 편의 효과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운전자 회피 성공률 25% → 84.5% / 운수업체 사고율 30% 감소 / 지자체 정책 결정 데이터 확보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수익구조 및 매출 추정 (3년차 70억)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고객</w:t>
            </w:r>
          </w:p>
        </w:tc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수익 모델</w:t>
            </w:r>
          </w:p>
        </w:tc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단가</w:t>
            </w:r>
          </w:p>
        </w:tc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보급 가정</w:t>
            </w:r>
          </w:p>
        </w:tc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연 매출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B2C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Premium 구독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월 4,900원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5만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약 30억원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B2B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차량당 SaaS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월 9,900원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50만 대 × 10%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약 59억원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B2G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정책 리포트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연 2,000만원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226 × 30%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약 13.5억원</w:t>
            </w:r>
          </w:p>
        </w:tc>
      </w:tr>
    </w:tbl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서비스 확장 계획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- 1단계 마이데이터 결합(보험·정비) / 2단계 자율주행 데이터허브 기여 / 3단계 해외 진출</w:t>
      </w:r>
    </w:p>
    <w:p>
      <w:pPr>
        <w:spacing w:before="80" w:after="20"/>
      </w:pPr>
      <w:r>
        <w:rPr>
          <w:rFonts w:ascii="맑은 고딕" w:hAnsi="맑은 고딕" w:eastAsia="맑은 고딕"/>
          <w:b/>
          <w:sz w:val="22"/>
        </w:rPr>
        <w:t>□ 기대효과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정량 사회 임팩트 (TAAS 2024 기준, 선행경고 3.38초)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도입 비율</w:t>
            </w:r>
          </w:p>
        </w:tc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사고 예방/년</w:t>
            </w:r>
          </w:p>
        </w:tc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사망 감소</w:t>
            </w:r>
          </w:p>
        </w:tc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부상 감소</w:t>
            </w:r>
          </w:p>
        </w:tc>
        <w:tc>
          <w:tcPr>
            <w:tcW w:type="dxa" w:w="2040"/>
            <w:shd w:fill="D9E1F2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/>
                <w:sz w:val="17"/>
              </w:rPr>
              <w:t>사회비용 절감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Pilot 5%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1,694 건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21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2,370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약 2,800억원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확산 25%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8,470 건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105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11,852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약 1조 4,000억원</w:t>
            </w:r>
          </w:p>
        </w:tc>
      </w:tr>
      <w:tr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전국 100%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33,880 건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421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47,408 명</w:t>
            </w:r>
          </w:p>
        </w:tc>
        <w:tc>
          <w:tcPr>
            <w:tcW w:type="dxa" w:w="2040"/>
            <w:vAlign w:val="center"/>
          </w:tcPr>
          <w:p>
            <w:pPr>
              <w:spacing w:before="0" w:after="0" w:line="240" w:lineRule="auto"/>
            </w:pPr>
            <w:r>
              <w:rPr>
                <w:rFonts w:ascii="맑은 고딕" w:hAnsi="맑은 고딕" w:eastAsia="맑은 고딕"/>
                <w:b w:val="0"/>
                <w:sz w:val="17"/>
              </w:rPr>
              <w:t>약 5조 6,000억원</w:t>
            </w:r>
          </w:p>
        </w:tc>
      </w:tr>
    </w:tbl>
    <w:p>
      <w:pPr>
        <w:spacing w:after="0" w:line="252" w:lineRule="auto"/>
        <w:ind w:left="397"/>
      </w:pPr>
      <w:r>
        <w:rPr>
          <w:rFonts w:ascii="맑은 고딕" w:hAnsi="맑은 고딕" w:eastAsia="맑은 고딕"/>
          <w:b w:val="0"/>
          <w:color w:val="707070"/>
          <w:sz w:val="16"/>
        </w:rPr>
        <w:t>※ 산출: TAAS 연간 × 도시교차로 46% × 시나리오 42% × 회피율 × 도입률 / 단가: KOTI 사회적 비용 2024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우선 도입 단기 효과 + 사회적 파급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서울 위험 교차로 Top-10 도입 시 연 사망·중상 85명 예방 (강남역 11.8 · 잠실 10.1 등)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민식이법·우회전 강화 부담 운전자 객관적 회피 데이터 / 보행 약자(어린이·고령자) 자동 알림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운수 종사자 졸음·과속 사전 차단 → 보험료·배상금 절감 / 보행자 사망 비중 38% 감소 기대</w:t>
      </w:r>
    </w:p>
    <w:p>
      <w:pPr>
        <w:spacing w:before="80" w:after="20"/>
      </w:pPr>
      <w:r>
        <w:rPr>
          <w:rFonts w:ascii="맑은 고딕" w:hAnsi="맑은 고딕" w:eastAsia="맑은 고딕"/>
          <w:b/>
          <w:sz w:val="22"/>
        </w:rPr>
        <w:t>□ 기 타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법적 컴플라이언스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코드 MIT / 공공데이터 출처 약관(공공누리 1~2유형 호환)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PII 자동 마스킹(개보법 3조) / 가명결합 k≥5(28조의2) / DSZ 절차(국토부 훈령 1456호)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전문성 및 사업역량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라이브 서비스 상시 운영(auraview.allthatai.kr) + 오픈소스 공개(github.com/leelang7/AuraView)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AI 모델 가중치·학습 메트릭·8 시나리오 법령 매핑 모두 공개 검증 가능</w:t>
      </w:r>
    </w:p>
    <w:p>
      <w:pPr>
        <w:spacing w:after="0" w:line="264" w:lineRule="auto"/>
        <w:ind w:left="170"/>
      </w:pPr>
      <w:r>
        <w:rPr>
          <w:rFonts w:ascii="맑은 고딕" w:hAnsi="맑은 고딕" w:eastAsia="맑은 고딕"/>
          <w:b/>
          <w:sz w:val="19"/>
        </w:rPr>
        <w:t>○ 창업 의지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DSZ 결합 결과를 정책 보고서가 아닌 실시간 차량 알림으로 환원하는 첫 사례 구축</w:t>
      </w:r>
    </w:p>
    <w:p>
      <w:pPr>
        <w:spacing w:after="0" w:line="264" w:lineRule="auto"/>
        <w:ind w:left="397"/>
      </w:pPr>
      <w:r>
        <w:rPr>
          <w:rFonts w:ascii="맑은 고딕" w:hAnsi="맑은 고딕" w:eastAsia="맑은 고딕"/>
          <w:b w:val="0"/>
          <w:sz w:val="19"/>
        </w:rPr>
        <w:t>- MIT 오픈소스 사회 환원 + B2B·B2G 수익 모델 동시 추진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