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b w:val="0"/>
          <w:color w:val="57534E"/>
          <w:sz w:val="20"/>
          <w:rFonts w:eastAsia="맑은 고딕" w:ascii="맑은 고딕"/>
        </w:rPr>
        <w:t>[서식2-1]</w:t>
      </w:r>
    </w:p>
    <w:p>
      <w:pPr>
        <w:spacing w:before="400" w:after="400"/>
        <w:jc w:val="center"/>
      </w:pPr>
      <w:r>
        <w:rPr>
          <w:b/>
          <w:color w:val="0C1C33"/>
          <w:sz w:val="44"/>
          <w:rFonts w:eastAsia="맑은 고딕" w:ascii="맑은 고딕"/>
        </w:rPr>
        <w:t xml:space="preserve">( 인공지능 모델 개발 ) </w:t>
      </w:r>
      <w:r>
        <w:rPr>
          <w:b/>
          <w:color w:val="B8902F"/>
          <w:sz w:val="48"/>
          <w:rFonts w:eastAsia="맑은 고딕" w:ascii="맑은 고딕"/>
        </w:rPr>
        <w:t>요약서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f5ebd2"/>
            <w:tcBorders>
              <w:top w:val="single" w:sz="4" w:color="b8902f"/>
              <w:left w:val="single" w:sz="4" w:color="b8902f"/>
              <w:bottom w:val="single" w:sz="4" w:color="b8902f"/>
              <w:right w:val="single" w:sz="4" w:color="b8902f"/>
            </w:tcBorders>
          </w:tcPr>
          <w:p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팀명</w:t>
            </w:r>
          </w:p>
        </w:tc>
        <w:tc>
          <w:tcPr>
            <w:tcW w:type="dxa" w:w="7370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율매 (Yulmae)</w:t>
            </w:r>
          </w:p>
        </w:tc>
      </w:tr>
      <w:tr>
        <w:tc>
          <w:tcPr>
            <w:tcW w:type="dxa" w:w="1701"/>
            <w:shd w:val="clear" w:color="auto" w:fill="f5ebd2"/>
            <w:tcBorders>
              <w:top w:val="single" w:sz="4" w:color="b8902f"/>
              <w:left w:val="single" w:sz="4" w:color="b8902f"/>
              <w:bottom w:val="single" w:sz="4" w:color="b8902f"/>
              <w:right w:val="single" w:sz="4" w:color="b8902f"/>
            </w:tcBorders>
          </w:tcPr>
          <w:p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프로젝트</w:t>
            </w:r>
          </w:p>
        </w:tc>
        <w:tc>
          <w:tcPr>
            <w:tcW w:type="dxa" w:w="7370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율맥 (LexPulse) — Korea Fair Trade Decision Intelligence</w:t>
            </w:r>
          </w:p>
        </w:tc>
      </w:tr>
    </w:tbl>
    <w:p>
      <w:pPr>
        <w:spacing w:before="0" w:after="20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제목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80" w:after="80" w:line="360" w:lineRule="auto"/>
              <w:ind w:left="170" w:right="170"/>
              <w:jc w:val="left"/>
            </w:pPr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율맥 (LexPulse) — 공정거래 의결서 자연어 검색 RAG 시스템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내용요약 (초록)</w:t>
      </w:r>
    </w:p>
    <w:p>
      <w:pPr>
        <w:spacing w:before="0" w:after="40"/>
        <w:ind w:left="170"/>
      </w:pPr>
      <w:r>
        <w:rPr>
          <w:b w:val="0"/>
          <w:color w:val="808080"/>
          <w:sz w:val="19"/>
          <w:rFonts w:eastAsia="맑은 고딕" w:ascii="맑은 고딕"/>
        </w:rPr>
        <w:t>* 구체적이고 실현 가능한 내용으로 작성해주세요.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80" w:after="80" w:line="360" w:lineRule="auto"/>
              <w:ind w:left="170" w:right="170"/>
              <w:jc w:val="both"/>
            </w:pPr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본 시스템 "율맥(LexPulse)"은 공정거래위원회가 공개한 의결서 500건, 31,877개 청크를 한국어 자연어 질의로 검색하고 본문에서 발췌해 답변하는 검색-증강 생성(RAG) 시스템이다. 검색 단계는 키워드 매칭(BM25, kiwipiepy 한국어 형태소), 의미 매칭(다국어 mpnet 768차원 임베딩), 그리고 Cross-Encoder 재순위(Jina-Reranker-v2 multilingual)의 3단 하이브리드 구조에 가상 답변 생성 기반 의미 보강 기법인 HyDE를 추가하여 vague한 질의에서도 정답 청크를 정확히 검색하도록 설계되었다. 응답 생성에는 Qwen2.5-7B-Instruct(Q4_K_M, GGUF) 모델을 GPU 전 레이어 오프로드로 운영하며, 프롬프트는 "검색된 의결서 본문에서만 발췌한다"로 강제하여 환각(hallucination)을 차단한다. 공모전 트랙2 자격 요건인 외부 API 미사용·LLM 8B 이하·응답 30초 이내·정확히 5개 chunk_id 반환·공식 chunk_id 보존을 모두 충족하며, 자체 평가셋 200쿼리 기준 Recall@5 0.195, MRR 0.114, BERTScore 0.6512(실측), F1 0.0949로 공식 가중치 종합 점수 0.300을 달성하였다. 구체적 사건명·법조항 중심의 실제 채점 환경에서는 0.40~0.55 수준이 가능할 것으로 추정한다.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주요기능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 w:line="336" w:lineRule="auto"/>
              <w:ind w:left="227"/>
            </w:pPr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① 자연어 질의를 의결서 31,877개 청크에서 정확히 5개로 매칭 (chunk_id 자동 검증·중복 차단)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HyDE 가상 답변 보강 — Qwen이 질의에 대한 의결서 형식의 가상 답변을 1~2문장으로 생성하여 추가 dense 검색에 투입 (자체 평가 MRR +10%)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Cross-Encoder Reranker로 후보 50건 중 상위 30건을 정밀 재순위 (자체 평가 Recall@5 +38%)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doc_diversity 강제 — top-5 결과에 5개 distinct 의결서 보장 (gold가 의결서 단위 구조를 활용)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⑤ 본문 발췌형 답변 — "[참고 의결서] 본문에서만 발췌하라" 프롬프트로 환각 차단, BERTScore 0.65 견인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⑥ 시연용 웹 UI — 자연어 질의 입력, 답변 카드, 5개 의결서 출처 카드, 응답 시간 가시화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⑦ 강건성 — chunk_id 5개 미만 시 corpus padding fallback, 컨텍스트 오버플로우 자동 축소(×3 재시도), CUDA 실패 시 CPU fallback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기대효과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 w:line="336" w:lineRule="auto"/>
              <w:ind w:left="227"/>
            </w:pPr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① 일반 국민 — 법률 정보 비대칭 해소: 자연어 질의로 의결서 검색 가능, 공정거래 인식 향상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기업·소상공인 — 컴플라이언스 비용 절감: 거래 행위 사전 위반 진단으로 과징금 회피, 법률 자문 비용 50% 절감 추정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변호사·로펌 — 유사 판례 자동 추천: 사건 검토 시간 단축, 의견서 일관성 확보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공정위 조사관 — 의결서 초안 작성 시 유사 사례 즉시 검색: 작성 시간 50% 절감 추정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⑤ 연구자·정책기관 — 의결서 기반 통계·정책 효과 분석을 위한 검색·요약 자동화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⑥ 확장성 — chunk_id 보존 인터페이스로 대법원·헌법재판소·중앙선거관리위원회 의결문 즉시 이식 가능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⑦ 사업화 — B2B 컴플라이언스 SaaS, B2G 공공 법률 검색, 리걸테크 사건 분석 보조 시장 진출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적용사용자 (수요자)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1C1917"/>
                <w:sz w:val="22"/>
                <w:rFonts w:eastAsia="맑은 고딕" w:ascii="맑은 고딕"/>
              </w:rPr>
              <w:t>☑ 일반 대국민(소비자)    ☑ 가맹점주 등 신고인    ☑ 기업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2"/>
                <w:rFonts w:eastAsia="맑은 고딕" w:ascii="맑은 고딕"/>
              </w:rPr>
              <w:t>☑ 연구자    ☑ 조사관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활용 데이터 목록</w:t>
      </w:r>
    </w:p>
    <w:p>
      <w:pPr>
        <w:spacing w:before="0" w:after="40"/>
        <w:ind w:left="170"/>
      </w:pPr>
      <w:r>
        <w:rPr>
          <w:b w:val="0"/>
          <w:color w:val="808080"/>
          <w:sz w:val="19"/>
          <w:rFonts w:eastAsia="맑은 고딕" w:ascii="맑은 고딕"/>
        </w:rPr>
        <w:t>* (필수) 페어데이터(fairdata.kr) / 공정거래데이터(ftc.go.kr) / 공공데이터 포털(data.go.kr) 의 공정거래 공공데이터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 w:line="336" w:lineRule="auto"/>
              <w:ind w:left="227"/>
            </w:pPr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■ 공정거래위원회 의결서 데이터셋 (페어데이터, fairdata.go.kr)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공식 ZIP 243MB · 500건 의결서 · 31,877개 unique chunk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chunk_id 형식: DOC-{uuid}-CH-XXX (공식 형식 보존)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페어 파일 구조: &lt;사건명&gt;_hybrid.json (청킹) + &lt;사건명&gt;_metadata.json (메타)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메타 필드: 사건명, 섹션(주문·이유), 피심인, 위반·세부위반·조치유형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청크 분포: 주문 690 + 이유 31,187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■ 공정거래위원회 사건정보 (ftc.go.kr) — 보조 참조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사건 처리 결과·시정조치·검찰 고발 등 메타 보강용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■ 공공데이터 포털 (data.go.kr) — 확장 시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법령 본문 데이터 (적용 법조항 자동 링크), 통계연보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b/>
          <w:color w:val="B8902F"/>
          <w:sz w:val="23"/>
          <w:rFonts w:eastAsia="맑은 고딕" w:ascii="맑은 고딕"/>
        </w:rPr>
        <w:t xml:space="preserve">■ </w:t>
      </w:r>
      <w:r>
        <w:rPr>
          <w:b/>
          <w:color w:val="0C1C33"/>
          <w:sz w:val="23"/>
          <w:rFonts w:eastAsia="맑은 고딕" w:ascii="맑은 고딕"/>
        </w:rPr>
        <w:t>활용기술</w:t>
      </w:r>
    </w:p>
    <w:p>
      <w:pPr>
        <w:spacing w:before="0" w:after="40"/>
        <w:ind w:left="170"/>
      </w:pPr>
      <w:r>
        <w:rPr>
          <w:b w:val="0"/>
          <w:color w:val="808080"/>
          <w:sz w:val="19"/>
          <w:rFonts w:eastAsia="맑은 고딕" w:ascii="맑은 고딕"/>
        </w:rPr>
        <w:t>예시) □ RAG, □ BM25, □ Dense Retrieval, □ GraphRag, □ LangChain, □ LangGraph, □ Agent, □ MCP 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1C1917"/>
                <w:sz w:val="22"/>
                <w:rFonts w:eastAsia="맑은 고딕" w:ascii="맑은 고딕"/>
              </w:rPr>
              <w:t>☑ RAG    ☑ BM25    ☑ Dense Retrieval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2"/>
                <w:rFonts w:eastAsia="맑은 고딕" w:ascii="맑은 고딕"/>
              </w:rPr>
              <w:t>☐ GraphRag    ☐ LangChain    ☐ LangGraph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2"/>
                <w:rFonts w:eastAsia="맑은 고딕" w:ascii="맑은 고딕"/>
              </w:rPr>
              <w:t>☐ Agent    ☐ MCP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 w:line="336" w:lineRule="auto"/>
              <w:ind w:left="227"/>
            </w:pPr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■ 추가 채택 기술 (차별화)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HyDE (Hypothetical Document Embeddings) — Gao et al., 2022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Cross-Encoder Reranker — Jina-Reranker-v2-base-multilingual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Reciprocal Rank Fusion (RRF, k=60) — Cormack et al., 2009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doc_diversity 강제 — top-5 distinct 의결서 보장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■ 사용 모델·라이브러리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LLM: Qwen2.5-7B-Instruct Q4_K_M (4.4GB GGUF, llama-cpp-python CUDA)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Dense 임베딩: paraphrase-multilingual-mpnet-base-v2 (768d, fastembed ONNX, GPU)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한국어 형태소: kiwipiepy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Vector Index: FAISS (IndexFlatIP)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API: FastAPI + uvicorn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■ 자격 요건 충족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외부 API 호출 0   · LLM 8B 이하 (Qwen 7B)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응답 30초 이내 (자체 평균 7.3초)   · 정확히 5 chunk_id 반환</w:t>
            </w:r>
          </w:p>
          <w:p>
            <w:pPr>
              <w:spacing w:before="40" w:after="40" w:line="336" w:lineRule="auto"/>
              <w:ind w:left="227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 xml:space="preserve">    · 공식 chunk_id 보존 (재청킹 없음)   · Docker 인터넷 차단 환경 호환</w:t>
            </w:r>
          </w:p>
        </w:tc>
      </w:tr>
    </w:tbl>
    <w:p>
      <w:pPr>
        <w:spacing w:before="0" w:after="80"/>
      </w:pPr>
    </w:p>
    <w:p>
      <w:pPr>
        <w:spacing w:before="160" w:after="40"/>
      </w:pPr>
    </w:p>
    <w:p>
      <w:pPr>
        <w:spacing w:before="0" w:after="40"/>
        <w:jc w:val="center"/>
      </w:pPr>
      <w:r>
        <w:rPr>
          <w:b/>
          <w:color w:val="0C1C33"/>
          <w:sz w:val="22"/>
          <w:rFonts w:eastAsia="맑은 고딕" w:ascii="맑은 고딕"/>
        </w:rPr>
        <w:t>[ 끝 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