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9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8"/>
          <w:szCs w:val="38"/>
        </w:rPr>
        <w:t xml:space="preserve">OSIS-AI 与主流智能体框架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建模流程对比实验框架设计文档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文档版本：v0.1（设计稿）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日期：2026-09-02　|　适用任务线：桥梁数值建模（第一阶段）</w:t>
      </w:r>
    </w:p>
    <w:p>
      <w:pPr>
        <w:spacing w:after="0" w:before="420"/>
        <w:jc w:val="center"/>
      </w:pPr>
      <w:r>
        <w:rPr>
          <w:rFonts w:ascii="Microsoft YaHei" w:cs="Microsoft YaHei" w:eastAsia="Microsoft YaHei" w:hAnsi="Microsoft YaHei"/>
          <w:i/>
          <w:iCs/>
          <w:color w:val="7F8C8D"/>
          <w:sz w:val="23"/>
          <w:szCs w:val="23"/>
        </w:rPr>
        <w:t xml:space="preserve">OSIS Skill Enhance 项目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1. 文档目的与范围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本设计用于比较 OSIS-AI（T6）与表格中五类代表性系统（T1–T5）在桥梁建模任务上的端到端能力。第一阶段只评测建模任务线：自然语言需求 → PYOSIS/Python 建模代码 → 软件中的真实模型 → 求解与自动验证 → 可追溯产物。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附件《工作一实验计划总纲》只作为实验规格参考。其核心约束包括统一模型、工具、案例和资源预算，覆盖整桥建模、单模块生成、模块修改三类任务，并以软件执行后的真实模型构造正确性为最高优先级；附件没有指定必须使用某个外部框架，也不替代本设计中的版本锁定和执行协议。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本设计的目标不是证明任何框架在所有场景下绝对优越，而是在可复现条件下回答：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不同智能体编排方式对桥梁模型构造成功率和质量的影响是什么？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优势主要出现在需求解析、模块编排、求解验证、错误修复还是增量重跑阶段？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OSIS 的技能分层、状态化模型、验证器和增量重跑是否带来可测量收益？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2. 参照系统与版本锁定</w:t>
      </w:r>
    </w:p>
    <w:tbl>
      <w:tblPr>
        <w:tblW w:type="dxa" w:w="9638"/>
        <w:tblBorders>
          <w:top w:val="single" w:color="B7C9D6" w:sz="1"/>
          <w:left w:val="single" w:color="B7C9D6" w:sz="1"/>
          <w:bottom w:val="single" w:color="B7C9D6" w:sz="1"/>
          <w:right w:val="single" w:color="B7C9D6" w:sz="1"/>
          <w:insideH w:val="single" w:color="auto" w:sz="4"/>
          <w:insideV w:val="single" w:color="auto" w:sz="4"/>
        </w:tblBorders>
      </w:tblPr>
      <w:tblGrid>
        <w:gridCol w:w="1400"/>
        <w:gridCol w:w="2600"/>
        <w:gridCol w:w="3500"/>
        <w:gridCol w:w="2138"/>
      </w:tblGrid>
      <w:tr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1F1F"/>
                <w:sz w:val="18"/>
                <w:szCs w:val="18"/>
              </w:rPr>
              <w:t xml:space="preserve">系统</w:t>
            </w:r>
          </w:p>
        </w:tc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1F1F"/>
                <w:sz w:val="18"/>
                <w:szCs w:val="18"/>
              </w:rPr>
              <w:t xml:space="preserve">推荐实现与版本</w:t>
            </w:r>
          </w:p>
        </w:tc>
        <w:tc>
          <w:tcPr>
            <w:tcW w:type="dxa" w:w="3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1F1F"/>
                <w:sz w:val="18"/>
                <w:szCs w:val="18"/>
              </w:rPr>
              <w:t xml:space="preserve">技能/文档挂载</w:t>
            </w:r>
          </w:p>
        </w:tc>
        <w:tc>
          <w:tcPr>
            <w:tcW w:type="dxa" w:w="21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1F1F"/>
                <w:sz w:val="18"/>
                <w:szCs w:val="18"/>
              </w:rPr>
              <w:t xml:space="preserve">建模流程定位</w:t>
            </w:r>
          </w:p>
        </w:tc>
      </w:tr>
      <w:tr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T1 直接执行</w:t>
            </w:r>
          </w:p>
        </w:tc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Liang 2504.09754；参考 FEABench</w:t>
            </w:r>
          </w:p>
        </w:tc>
        <w:tc>
          <w:tcPr>
            <w:tcW w:type="dxa" w:w="3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运行前生成固定技能索引和文档包；不允许交互式读取</w:t>
            </w:r>
          </w:p>
        </w:tc>
        <w:tc>
          <w:tcPr>
            <w:tcW w:type="dxa" w:w="21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一次生成脚本并执行</w:t>
            </w:r>
          </w:p>
        </w:tc>
      </w:tr>
      <w:tr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T2 ReAct</w:t>
            </w:r>
          </w:p>
        </w:tc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LangGraph 1.2.11 + LangChain 1.3.18</w:t>
            </w:r>
          </w:p>
        </w:tc>
        <w:tc>
          <w:tcPr>
            <w:tcW w:type="dxa" w:w="3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system_prompt 注入索引；工具读取技能和参考资料</w:t>
            </w:r>
          </w:p>
        </w:tc>
        <w:tc>
          <w:tcPr>
            <w:tcW w:type="dxa" w:w="21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思考 → 工具 → 观察 → 行动循环</w:t>
            </w:r>
          </w:p>
        </w:tc>
      </w:tr>
      <w:tr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T3 CodeAct</w:t>
            </w:r>
          </w:p>
        </w:tc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smolagents v1.26.0</w:t>
            </w:r>
          </w:p>
        </w:tc>
        <w:tc>
          <w:tcPr>
            <w:tcW w:type="dxa" w:w="3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instructions、prompt template 和自定义工具</w:t>
            </w:r>
          </w:p>
        </w:tc>
        <w:tc>
          <w:tcPr>
            <w:tcW w:type="dxa" w:w="21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直接生成 Python 动作代码</w:t>
            </w:r>
          </w:p>
        </w:tc>
      </w:tr>
      <w:tr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T4 完整 CodeAct</w:t>
            </w:r>
          </w:p>
        </w:tc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OpenHands SDK v1.44.1</w:t>
            </w:r>
          </w:p>
        </w:tc>
        <w:tc>
          <w:tcPr>
            <w:tcW w:type="dxa" w:w="3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原生支持 SKILL.md、load_skills_from_dir()、AgentContext(skills=...) 和 .agents/skills/</w:t>
            </w:r>
          </w:p>
        </w:tc>
        <w:tc>
          <w:tcPr>
            <w:tcW w:type="dxa" w:w="21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Agent、Conversation、Workspace 和工具协同</w:t>
            </w:r>
          </w:p>
        </w:tc>
      </w:tr>
      <w:tr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T5 角色多智能体</w:t>
            </w:r>
          </w:p>
        </w:tc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CrewAI 1.15.18</w:t>
            </w:r>
          </w:p>
        </w:tc>
        <w:tc>
          <w:tcPr>
            <w:tcW w:type="dxa" w:w="3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主轨采用统一技能工具；副轨使用 knowledge_sources、Agent、Task、Flow</w:t>
            </w:r>
          </w:p>
        </w:tc>
        <w:tc>
          <w:tcPr>
            <w:tcW w:type="dxa" w:w="21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规划者 → 建模者 → 验证者 → 报告者</w:t>
            </w:r>
          </w:p>
        </w:tc>
      </w:tr>
      <w:tr>
        <w:tc>
          <w:tcPr>
            <w:tcW w:type="dxa" w:w="14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T6 OSIS-AI</w:t>
            </w:r>
          </w:p>
        </w:tc>
        <w:tc>
          <w:tcPr>
            <w:tcW w:type="dxa" w:w="26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正式实验前建立干净 OSIS 快照</w:t>
            </w:r>
          </w:p>
        </w:tc>
        <w:tc>
          <w:tcPr>
            <w:tcW w:type="dxa" w:w="3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直接挂载 E:\实习\osis-skill-enhance-main\.agents\skills</w:t>
            </w:r>
          </w:p>
        </w:tc>
        <w:tc>
          <w:tcPr>
            <w:tcW w:type="dxa" w:w="21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OSIS 原生路由、状态、模板和增量重跑</w:t>
            </w:r>
          </w:p>
        </w:tc>
      </w:tr>
    </w:tbl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T4 是最适合作为“直接挂载现有技能树”主基线的外部框架。T2、T3、T5 通过统一适配器也可以挂载同一套技能和文档。T1 不视为完整框架，而作为一次性生成基线。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3. 总体架构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实验系统由四层组成：</w:t>
      </w:r>
    </w:p>
    <w:p>
      <w:pPr>
        <w:shd w:fill="F3F6F8" w:val="clear"/>
        <w:spacing w:after="120" w:before="70" w:line="260"/>
        <w:ind w:left="220" w:right="2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任务输入层
    ↓
框架适配层（T1–T6）
    ↓
统一 SkillAdapter + OSISAdapter
    ↓
真实模型执行、验证与评估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建议在独立目录中实现：</w:t>
      </w:r>
    </w:p>
    <w:p>
      <w:pPr>
        <w:shd w:fill="F3F6F8" w:val="clear"/>
        <w:spacing w:after="120" w:before="70" w:line="260"/>
        <w:ind w:left="220" w:right="2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E:\实习\osis-framework-comparison\
├─ common\
│  ├─ skill_adapter\
│  ├─ osis_adapter\
│  ├─ evaluator\
│  └─ task_schema\
├─ baselines\
│  ├─ t1_direct\
│  ├─ t2_langgraph\
│  ├─ t3_smolagents\
│  ├─ t4_openhands\
│  └─ t5_crewai\
├─ osis_t6\
├─ tasks\
│  ├─ dev\
│  └─ hidden\
├─ runs\
└─ manifests\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3.1 SkillAdapter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所有系统统一提供以下只读能力：</w:t>
      </w:r>
    </w:p>
    <w:p>
      <w:pPr>
        <w:shd w:fill="F3F6F8" w:val="clear"/>
        <w:spacing w:after="120" w:before="70" w:line="260"/>
        <w:ind w:left="220" w:right="2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list_skills()
read_skill(skill_id)
read_reference(skill_id, relative_path)
search_cases(query)
run_skill_script(skill_id, script_id, args)
skill_bundle_hash()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适配规则：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3.2 OSISAdapter</w:t>
      </w:r>
    </w:p>
    <w:p>
      <w:pPr>
        <w:shd w:fill="F3F6F8" w:val="clear"/>
        <w:spacing w:after="120" w:before="70" w:line="260"/>
        <w:ind w:left="220" w:right="2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create_model()
apply_model_patch()
run_model_script()
solve_model()
inspect_model_state()
validate_model()
snapshot_artifacts()
diff_model_state()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T1–T5 在主轨中通过同一 OSISAdapter 执行真实模型；T6 额外保留 OSIS 原生路由、状态管理和增量重跑机制。所有适配器最终输出相同语义的模型快照和验证结果。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4. 两条实验轨道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4.1 architecture-only 主轨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主轨只允许编排机制不同，以下内容必须一致：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该轨道用于分析路由、状态、验证、修复和增量重跑等架构机制。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4.2 native-best-practice 副轨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允许各框架使用自身最佳实践，例如 OpenHands 原生技能加载、CrewAI 原生知识源、LangGraph middleware 和 smolagents prompt template。该轨道反映实际系统效果，但结果只能解释为“系统级效果”，不能单独作为纯架构因果结论。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5. 统一任务和 I/O 协议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5.1 任务形态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每种桥型包含三类任务：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整桥生成：从自然语言需求生成完整模型。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单模块生成：只生成指定建模模块。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模块修改：基于已有模型快照修改一个或多个字段。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难度分为 L1、L2、L3。首轮试验覆盖 L1/L2，完整实验再加入 L3。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5.2 输入</w:t>
      </w:r>
    </w:p>
    <w:p>
      <w:pPr>
        <w:shd w:fill="F3F6F8" w:val="clear"/>
        <w:spacing w:after="120" w:before="70" w:line="260"/>
        <w:ind w:left="220" w:right="2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input.json
  ├─ natural_language_requirement
  ├─ bridge_type
  ├─ task_form
  ├─ difficulty
  └─ initial_project_snapshot   # 仅模块修改任务使用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5.3 输出</w:t>
      </w:r>
    </w:p>
    <w:p>
      <w:pPr>
        <w:shd w:fill="F3F6F8" w:val="clear"/>
        <w:spacing w:after="120" w:before="70" w:line="260"/>
        <w:ind w:left="220" w:right="2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artifacts/
├─ plan.json
├─ model_script.py
├─ model_state.json
├─ solver.log
├─ validation.json
└─ trace.json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model_state.json 必须从软件实际构造后的模型导出，不能仅根据生成代码或文本相似度评分。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6. 统一建模流程和检查点</w:t>
      </w:r>
    </w:p>
    <w:tbl>
      <w:tblPr>
        <w:tblW w:type="dxa" w:w="9638"/>
        <w:tblBorders>
          <w:top w:val="single" w:color="B7C9D6" w:sz="1"/>
          <w:left w:val="single" w:color="B7C9D6" w:sz="1"/>
          <w:bottom w:val="single" w:color="B7C9D6" w:sz="1"/>
          <w:right w:val="single" w:color="B7C9D6" w:sz="1"/>
          <w:insideH w:val="single" w:color="auto" w:sz="4"/>
          <w:insideV w:val="single" w:color="auto" w:sz="4"/>
        </w:tblBorders>
      </w:tblPr>
      <w:tblGrid>
        <w:gridCol w:w="1300"/>
        <w:gridCol w:w="5500"/>
        <w:gridCol w:w="2838"/>
      </w:tblGrid>
      <w:tr>
        <w:tc>
          <w:tcPr>
            <w:tcW w:type="dxa" w:w="1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1F1F"/>
                <w:sz w:val="18"/>
                <w:szCs w:val="18"/>
              </w:rPr>
              <w:t xml:space="preserve">检查点</w:t>
            </w:r>
          </w:p>
        </w:tc>
        <w:tc>
          <w:tcPr>
            <w:tcW w:type="dxa" w:w="5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1F1F"/>
                <w:sz w:val="18"/>
                <w:szCs w:val="18"/>
              </w:rPr>
              <w:t xml:space="preserve">统一含义</w:t>
            </w:r>
          </w:p>
        </w:tc>
        <w:tc>
          <w:tcPr>
            <w:tcW w:type="dxa" w:w="28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1F1F"/>
                <w:sz w:val="18"/>
                <w:szCs w:val="18"/>
              </w:rPr>
              <w:t xml:space="preserve">OSIS 内部阶段映射</w:t>
            </w:r>
          </w:p>
        </w:tc>
      </w:tr>
      <w:tr>
        <w:tc>
          <w:tcPr>
            <w:tcW w:type="dxa" w:w="1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P0</w:t>
            </w:r>
          </w:p>
        </w:tc>
        <w:tc>
          <w:tcPr>
            <w:tcW w:type="dxa" w:w="5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需求解析、桥型识别和任务边界</w:t>
            </w:r>
          </w:p>
        </w:tc>
        <w:tc>
          <w:tcPr>
            <w:tcW w:type="dxa" w:w="28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_1 控制</w:t>
            </w:r>
          </w:p>
        </w:tc>
      </w:tr>
      <w:tr>
        <w:tc>
          <w:tcPr>
            <w:tcW w:type="dxa" w:w="1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P1</w:t>
            </w:r>
          </w:p>
        </w:tc>
        <w:tc>
          <w:tcPr>
            <w:tcW w:type="dxa" w:w="5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建模假设、坐标、单位和材料假设</w:t>
            </w:r>
          </w:p>
        </w:tc>
        <w:tc>
          <w:tcPr>
            <w:tcW w:type="dxa" w:w="28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_2 几何/属性、_3 材料</w:t>
            </w:r>
          </w:p>
        </w:tc>
      </w:tr>
      <w:tr>
        <w:tc>
          <w:tcPr>
            <w:tcW w:type="dxa" w:w="1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P2</w:t>
            </w:r>
          </w:p>
        </w:tc>
        <w:tc>
          <w:tcPr>
            <w:tcW w:type="dxa" w:w="5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截面、节点、单元、边界、荷载和施工阶段</w:t>
            </w:r>
          </w:p>
        </w:tc>
        <w:tc>
          <w:tcPr>
            <w:tcW w:type="dxa" w:w="28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_4–_8</w:t>
            </w:r>
          </w:p>
        </w:tc>
      </w:tr>
      <w:tr>
        <w:tc>
          <w:tcPr>
            <w:tcW w:type="dxa" w:w="1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P3</w:t>
            </w:r>
          </w:p>
        </w:tc>
        <w:tc>
          <w:tcPr>
            <w:tcW w:type="dxa" w:w="5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生成并执行 PYOSIS/模型脚本</w:t>
            </w:r>
          </w:p>
        </w:tc>
        <w:tc>
          <w:tcPr>
            <w:tcW w:type="dxa" w:w="28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_9 分析准备</w:t>
            </w:r>
          </w:p>
        </w:tc>
      </w:tr>
      <w:tr>
        <w:tc>
          <w:tcPr>
            <w:tcW w:type="dxa" w:w="1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P4</w:t>
            </w:r>
          </w:p>
        </w:tc>
        <w:tc>
          <w:tcPr>
            <w:tcW w:type="dxa" w:w="5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编译、求解、收敛和基础数值检查</w:t>
            </w:r>
          </w:p>
        </w:tc>
        <w:tc>
          <w:tcPr>
            <w:tcW w:type="dxa" w:w="28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_9</w:t>
            </w:r>
          </w:p>
        </w:tc>
      </w:tr>
      <w:tr>
        <w:tc>
          <w:tcPr>
            <w:tcW w:type="dxa" w:w="1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P5</w:t>
            </w:r>
          </w:p>
        </w:tc>
        <w:tc>
          <w:tcPr>
            <w:tcW w:type="dxa" w:w="5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自动验证、诊断和有限轮次修复</w:t>
            </w:r>
          </w:p>
        </w:tc>
        <w:tc>
          <w:tcPr>
            <w:tcW w:type="dxa" w:w="28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osis-auto-testconformance</w:t>
            </w:r>
          </w:p>
        </w:tc>
      </w:tr>
      <w:tr>
        <w:tc>
          <w:tcPr>
            <w:tcW w:type="dxa" w:w="13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P6</w:t>
            </w:r>
          </w:p>
        </w:tc>
        <w:tc>
          <w:tcPr>
            <w:tcW w:type="dxa" w:w="5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结果整理、模型快照和可追溯报告</w:t>
            </w:r>
          </w:p>
        </w:tc>
        <w:tc>
          <w:tcPr>
            <w:tcW w:type="dxa" w:w="28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_10 施工阶段/产物</w:t>
            </w:r>
          </w:p>
        </w:tc>
      </w:tr>
    </w:tbl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每个框架都要记录 P0–P6 的阶段状态、输入输出、耗时和失败原因。T1 可以只有一次完整调用，但仍需把其产物映射到这些检查点。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7. 首轮建模试验矩阵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建议先进行适配器一致性测试，再运行小规模正式试验：</w:t>
      </w:r>
    </w:p>
    <w:tbl>
      <w:tblPr>
        <w:tblW w:type="dxa" w:w="9638"/>
        <w:tblBorders>
          <w:top w:val="single" w:color="B7C9D6" w:sz="1"/>
          <w:left w:val="single" w:color="B7C9D6" w:sz="1"/>
          <w:bottom w:val="single" w:color="B7C9D6" w:sz="1"/>
          <w:right w:val="single" w:color="B7C9D6" w:sz="1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1F1F"/>
                <w:sz w:val="18"/>
                <w:szCs w:val="18"/>
              </w:rPr>
              <w:t xml:space="preserve">因素</w:t>
            </w:r>
          </w:p>
        </w:tc>
        <w:tc>
          <w:tcPr>
            <w:tcW w:type="dxa" w:w="74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1F1F"/>
                <w:sz w:val="18"/>
                <w:szCs w:val="18"/>
              </w:rPr>
              <w:t xml:space="preserve">首轮设置</w:t>
            </w:r>
          </w:p>
        </w:tc>
      </w:tr>
      <w:tr>
        <w:tc>
          <w:tcPr>
            <w:tcW w:type="dxa" w:w="2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桥型</w:t>
            </w:r>
          </w:p>
        </w:tc>
        <w:tc>
          <w:tcPr>
            <w:tcW w:type="dxa" w:w="74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6 种：cantilever box、precast small box、precast T girder、rigid frame、conventional box、hollow slab</w:t>
            </w:r>
          </w:p>
        </w:tc>
      </w:tr>
      <w:tr>
        <w:tc>
          <w:tcPr>
            <w:tcW w:type="dxa" w:w="2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任务形态</w:t>
            </w:r>
          </w:p>
        </w:tc>
        <w:tc>
          <w:tcPr>
            <w:tcW w:type="dxa" w:w="74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整桥生成、单模块生成、模块修改</w:t>
            </w:r>
          </w:p>
        </w:tc>
      </w:tr>
      <w:tr>
        <w:tc>
          <w:tcPr>
            <w:tcW w:type="dxa" w:w="2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难度</w:t>
            </w:r>
          </w:p>
        </w:tc>
        <w:tc>
          <w:tcPr>
            <w:tcW w:type="dxa" w:w="74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L1/L2，18 个任务中均衡覆盖</w:t>
            </w:r>
          </w:p>
        </w:tc>
      </w:tr>
      <w:tr>
        <w:tc>
          <w:tcPr>
            <w:tcW w:type="dxa" w:w="2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重复</w:t>
            </w:r>
          </w:p>
        </w:tc>
        <w:tc>
          <w:tcPr>
            <w:tcW w:type="dxa" w:w="74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2 个随机种子</w:t>
            </w:r>
          </w:p>
        </w:tc>
      </w:tr>
      <w:tr>
        <w:tc>
          <w:tcPr>
            <w:tcW w:type="dxa" w:w="2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系统</w:t>
            </w:r>
          </w:p>
        </w:tc>
        <w:tc>
          <w:tcPr>
            <w:tcW w:type="dxa" w:w="74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T1–T6</w:t>
            </w:r>
          </w:p>
        </w:tc>
      </w:tr>
      <w:tr>
        <w:tc>
          <w:tcPr>
            <w:tcW w:type="dxa" w:w="22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总运行数</w:t>
            </w:r>
          </w:p>
        </w:tc>
        <w:tc>
          <w:tcPr>
            <w:tcW w:type="dxa" w:w="74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18 个任务 × 2 seeds × 6 系统 = 216 次</w:t>
            </w:r>
          </w:p>
        </w:tc>
      </w:tr>
    </w:tbl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现有约 95 个模板目录可作为开发集和案例池。隐藏测试集应使用参数扰动、邻近桥型组合、跨模块耦合、预应力/多工况和施工阶段变化，避免模型只记忆模板。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适配器通过后扩展完整矩阵：</w:t>
      </w:r>
    </w:p>
    <w:p>
      <w:pPr>
        <w:shd w:fill="F3F6F8" w:val="clear"/>
        <w:spacing w:after="120" w:before="70" w:line="260"/>
        <w:ind w:left="220" w:right="2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6 桥型 × 3 任务形态 × 3 难度 = 54 个任务单元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8. 评价指标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8.1 主要终点：完整成功率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一次运行只有在以下条件全部满足时才计为完整成功：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8.2 连续质量分数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建议预注册以下 0–100 分权重：</w:t>
      </w:r>
    </w:p>
    <w:tbl>
      <w:tblPr>
        <w:tblW w:type="dxa" w:w="9638"/>
        <w:tblBorders>
          <w:top w:val="single" w:color="B7C9D6" w:sz="1"/>
          <w:left w:val="single" w:color="B7C9D6" w:sz="1"/>
          <w:bottom w:val="single" w:color="B7C9D6" w:sz="1"/>
          <w:right w:val="single" w:color="B7C9D6" w:sz="1"/>
          <w:insideH w:val="single" w:color="auto" w:sz="4"/>
          <w:insideV w:val="single" w:color="auto" w:sz="4"/>
        </w:tblBorders>
      </w:tblPr>
      <w:tblGrid>
        <w:gridCol w:w="7000"/>
        <w:gridCol w:w="2638"/>
      </w:tblGrid>
      <w:tr>
        <w:tc>
          <w:tcPr>
            <w:tcW w:type="dxa" w:w="7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1F1F"/>
                <w:sz w:val="18"/>
                <w:szCs w:val="18"/>
              </w:rPr>
              <w:t xml:space="preserve">维度</w:t>
            </w:r>
          </w:p>
        </w:tc>
        <w:tc>
          <w:tcPr>
            <w:tcW w:type="dxa" w:w="26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1F1F"/>
                <w:sz w:val="18"/>
                <w:szCs w:val="18"/>
              </w:rPr>
              <w:t xml:space="preserve">权重</w:t>
            </w:r>
          </w:p>
        </w:tc>
      </w:tr>
      <w:tr>
        <w:tc>
          <w:tcPr>
            <w:tcW w:type="dxa" w:w="7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真实模型构造正确性</w:t>
            </w:r>
          </w:p>
        </w:tc>
        <w:tc>
          <w:tcPr>
            <w:tcW w:type="dxa" w:w="26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40%</w:t>
            </w:r>
          </w:p>
        </w:tc>
      </w:tr>
      <w:tr>
        <w:tc>
          <w:tcPr>
            <w:tcW w:type="dxa" w:w="7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执行与收敛</w:t>
            </w:r>
          </w:p>
        </w:tc>
        <w:tc>
          <w:tcPr>
            <w:tcW w:type="dxa" w:w="26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20%</w:t>
            </w:r>
          </w:p>
        </w:tc>
      </w:tr>
      <w:tr>
        <w:tc>
          <w:tcPr>
            <w:tcW w:type="dxa" w:w="7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结构字段完整性</w:t>
            </w:r>
          </w:p>
        </w:tc>
        <w:tc>
          <w:tcPr>
            <w:tcW w:type="dxa" w:w="26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15%</w:t>
            </w:r>
          </w:p>
        </w:tc>
      </w:tr>
      <w:tr>
        <w:tc>
          <w:tcPr>
            <w:tcW w:type="dxa" w:w="7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单位/边界/荷载正确性</w:t>
            </w:r>
          </w:p>
        </w:tc>
        <w:tc>
          <w:tcPr>
            <w:tcW w:type="dxa" w:w="26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10%</w:t>
            </w:r>
          </w:p>
        </w:tc>
      </w:tr>
      <w:tr>
        <w:tc>
          <w:tcPr>
            <w:tcW w:type="dxa" w:w="7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验证与数值合理性</w:t>
            </w:r>
          </w:p>
        </w:tc>
        <w:tc>
          <w:tcPr>
            <w:tcW w:type="dxa" w:w="26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10%</w:t>
            </w:r>
          </w:p>
        </w:tc>
      </w:tr>
      <w:tr>
        <w:tc>
          <w:tcPr>
            <w:tcW w:type="dxa" w:w="7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过程可追溯性</w:t>
            </w:r>
          </w:p>
        </w:tc>
        <w:tc>
          <w:tcPr>
            <w:tcW w:type="dxa" w:w="2638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5%</w:t>
            </w:r>
          </w:p>
        </w:tc>
      </w:tr>
    </w:tbl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8.3 过程指标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9. 公平性和可复现性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每次运行必须自动生成 manifest，至少包含：</w:t>
      </w:r>
    </w:p>
    <w:p>
      <w:pPr>
        <w:shd w:fill="F3F6F8" w:val="clear"/>
        <w:spacing w:after="120" w:before="70" w:line="260"/>
        <w:ind w:left="220" w:right="22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task_id
architecture_id
framework_version
commit
model_snapshot
skill_bundle_sha256
tool_schema_version
solver_version
container_digest
seed
timeout_s
token_budget
tool_call_budget
artifact_hashes
failure_code
human_intervention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所有 LLM 调用、并行调用、工具调用、重试和子智能体都计入预算；禁止人工修改脚本、补参数或选择性重跑。正式实验采用公开开发集和隐藏测试集分离，实验前冻结权重、容差、超时、随机种子和最小重要差异 Δ。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统计分析建议以任务为独立单位、seed 嵌套在任务内：二元成功率使用 logistic GLMM，连续分数和耗时使用 LMM 或 Gamma 混合模型，报告架构效应、95% CI、任务聚类 bootstrap 和多重比较校正。只有当 OSIS 相对基线的 95% CI 下界超过预注册的 Δ，才表述为“在本实验条件下具有明确优势”。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10. 消融和迁移实验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其中迁移实验用于区分“架构贡献”和“技能、工具、模板或求解器优势”。简单一步任务作为负对照，用于检验 OSIS 的优势是否主要出现在复杂建模流程。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11. 实施顺序与当前状态</w:t>
      </w:r>
    </w:p>
    <w:p>
      <w:pPr>
        <w:spacing w:after="10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本设计稿已独立输出，不修改 E:\实习\osis-skill-enhance-main 中现有文件。正式实验前必须记录 OSIS commit、容器 digest、求解器版本、模型快照、技能包哈希和工具白名单。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12. 参考链接</w:t>
      </w:r>
    </w:p>
    <w:p>
      <w:pPr>
        <w:spacing w:after="70"/>
      </w:pPr>
      <w:hyperlink w:history="1" r:id="rIdrtbpbsc9vzmimebbhau13">
        <w:r>
          <w:rPr>
            <w:rFonts w:ascii="Microsoft YaHei" w:cs="Microsoft YaHei" w:eastAsia="Microsoft YaHei" w:hAnsi="Microsoft YaHei"/>
            <w:color w:val="0563C1"/>
            <w:sz w:val="20"/>
            <w:szCs w:val="20"/>
            <w:u w:val="single"/>
          </w:rPr>
          <w:t xml:space="preserve">Liang et al., arXiv:2504.09754</w:t>
        </w:r>
      </w:hyperlink>
    </w:p>
    <w:p>
      <w:pPr>
        <w:spacing w:after="70"/>
      </w:pPr>
      <w:hyperlink w:history="1" r:id="rIdbxgbbhm79o2ievsjimfwi">
        <w:r>
          <w:rPr>
            <w:rFonts w:ascii="Microsoft YaHei" w:cs="Microsoft YaHei" w:eastAsia="Microsoft YaHei" w:hAnsi="Microsoft YaHei"/>
            <w:color w:val="0563C1"/>
            <w:sz w:val="20"/>
            <w:szCs w:val="20"/>
            <w:u w:val="single"/>
          </w:rPr>
          <w:t xml:space="preserve">Google FEABench</w:t>
        </w:r>
      </w:hyperlink>
    </w:p>
    <w:p>
      <w:pPr>
        <w:spacing w:after="70"/>
      </w:pPr>
      <w:hyperlink w:history="1" r:id="rIdybdyrbysbx-8ri9crvbye">
        <w:r>
          <w:rPr>
            <w:rFonts w:ascii="Microsoft YaHei" w:cs="Microsoft YaHei" w:eastAsia="Microsoft YaHei" w:hAnsi="Microsoft YaHei"/>
            <w:color w:val="0563C1"/>
            <w:sz w:val="20"/>
            <w:szCs w:val="20"/>
            <w:u w:val="single"/>
          </w:rPr>
          <w:t xml:space="preserve">LangGraph</w:t>
        </w:r>
      </w:hyperlink>
    </w:p>
    <w:p>
      <w:pPr>
        <w:spacing w:after="70"/>
      </w:pPr>
      <w:hyperlink w:history="1" r:id="rIdoeysok-zcb1gtdfvnyc_3">
        <w:r>
          <w:rPr>
            <w:rFonts w:ascii="Microsoft YaHei" w:cs="Microsoft YaHei" w:eastAsia="Microsoft YaHei" w:hAnsi="Microsoft YaHei"/>
            <w:color w:val="0563C1"/>
            <w:sz w:val="20"/>
            <w:szCs w:val="20"/>
            <w:u w:val="single"/>
          </w:rPr>
          <w:t xml:space="preserve">LangChain create_agent API</w:t>
        </w:r>
      </w:hyperlink>
    </w:p>
    <w:p>
      <w:pPr>
        <w:spacing w:after="70"/>
      </w:pPr>
      <w:hyperlink w:history="1" r:id="rIdtzfb7vwl0madqxdmobigl">
        <w:r>
          <w:rPr>
            <w:rFonts w:ascii="Microsoft YaHei" w:cs="Microsoft YaHei" w:eastAsia="Microsoft YaHei" w:hAnsi="Microsoft YaHei"/>
            <w:color w:val="0563C1"/>
            <w:sz w:val="20"/>
            <w:szCs w:val="20"/>
            <w:u w:val="single"/>
          </w:rPr>
          <w:t xml:space="preserve">smolagents Agents API</w:t>
        </w:r>
      </w:hyperlink>
    </w:p>
    <w:p>
      <w:pPr>
        <w:spacing w:after="70"/>
      </w:pPr>
      <w:hyperlink w:history="1" r:id="rId71s-gdejbjc_ftemmtodj">
        <w:r>
          <w:rPr>
            <w:rFonts w:ascii="Microsoft YaHei" w:cs="Microsoft YaHei" w:eastAsia="Microsoft YaHei" w:hAnsi="Microsoft YaHei"/>
            <w:color w:val="0563C1"/>
            <w:sz w:val="20"/>
            <w:szCs w:val="20"/>
            <w:u w:val="single"/>
          </w:rPr>
          <w:t xml:space="preserve">smolagents Building good agents</w:t>
        </w:r>
      </w:hyperlink>
    </w:p>
    <w:p>
      <w:pPr>
        <w:spacing w:after="70"/>
      </w:pPr>
      <w:hyperlink w:history="1" r:id="rIdomr-0oesflkqw40dzei6e">
        <w:r>
          <w:rPr>
            <w:rFonts w:ascii="Microsoft YaHei" w:cs="Microsoft YaHei" w:eastAsia="Microsoft YaHei" w:hAnsi="Microsoft YaHei"/>
            <w:color w:val="0563C1"/>
            <w:sz w:val="20"/>
            <w:szCs w:val="20"/>
            <w:u w:val="single"/>
          </w:rPr>
          <w:t xml:space="preserve">OpenHands Agent Skills &amp; Context</w:t>
        </w:r>
      </w:hyperlink>
    </w:p>
    <w:p>
      <w:pPr>
        <w:spacing w:after="70"/>
      </w:pPr>
      <w:hyperlink w:history="1" r:id="rId2wy2cjb_lmx4-bg0yje09">
        <w:r>
          <w:rPr>
            <w:rFonts w:ascii="Microsoft YaHei" w:cs="Microsoft YaHei" w:eastAsia="Microsoft YaHei" w:hAnsi="Microsoft YaHei"/>
            <w:color w:val="0563C1"/>
            <w:sz w:val="20"/>
            <w:szCs w:val="20"/>
            <w:u w:val="single"/>
          </w:rPr>
          <w:t xml:space="preserve">OpenHands skills overview</w:t>
        </w:r>
      </w:hyperlink>
    </w:p>
    <w:p>
      <w:pPr>
        <w:spacing w:after="70"/>
      </w:pPr>
      <w:hyperlink w:history="1" r:id="rIdvpavqn8rr80ww9_wohphy">
        <w:r>
          <w:rPr>
            <w:rFonts w:ascii="Microsoft YaHei" w:cs="Microsoft YaHei" w:eastAsia="Microsoft YaHei" w:hAnsi="Microsoft YaHei"/>
            <w:color w:val="0563C1"/>
            <w:sz w:val="20"/>
            <w:szCs w:val="20"/>
            <w:u w:val="single"/>
          </w:rPr>
          <w:t xml:space="preserve">CrewAI documentation</w:t>
        </w:r>
      </w:hyperlink>
    </w:p>
    <w:sectPr>
      <w:headerReference w:type="default" r:id="rId7"/>
      <w:footerReference w:type="default" r:id="rId8"/>
      <w:pgSz w:w="11906" w:h="16838" w:orient="portrait"/>
      <w:pgMar w:top="1080" w:right="1134" w:bottom="10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F8C8D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F8C8D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F8C8D"/>
        <w:sz w:val="16"/>
        <w:szCs w:val="16"/>
      </w:rPr>
      <w:t xml:space="preserve">OSIS-AI 建模流程对比实验框架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tbpbsc9vzmimebbhau13" Type="http://schemas.openxmlformats.org/officeDocument/2006/relationships/hyperlink" Target="https://arxiv.org/abs/2504.09754" TargetMode="External"/><Relationship Id="rIdbxgbbhm79o2ievsjimfwi" Type="http://schemas.openxmlformats.org/officeDocument/2006/relationships/hyperlink" Target="https://github.com/google/feabench" TargetMode="External"/><Relationship Id="rIdybdyrbysbx-8ri9crvbye" Type="http://schemas.openxmlformats.org/officeDocument/2006/relationships/hyperlink" Target="https://github.com/langchain-ai/langgraph" TargetMode="External"/><Relationship Id="rIdoeysok-zcb1gtdfvnyc_3" Type="http://schemas.openxmlformats.org/officeDocument/2006/relationships/hyperlink" Target="https://reference.langchain.com/python/langchain/agents/factory/create_agent" TargetMode="External"/><Relationship Id="rIdtzfb7vwl0madqxdmobigl" Type="http://schemas.openxmlformats.org/officeDocument/2006/relationships/hyperlink" Target="https://huggingface.co/docs/smolagents/main/reference/agents" TargetMode="External"/><Relationship Id="rId71s-gdejbjc_ftemmtodj" Type="http://schemas.openxmlformats.org/officeDocument/2006/relationships/hyperlink" Target="https://huggingface.co/docs/smolagents/tutorials/building_good_agents" TargetMode="External"/><Relationship Id="rIdomr-0oesflkqw40dzei6e" Type="http://schemas.openxmlformats.org/officeDocument/2006/relationships/hyperlink" Target="https://docs.openhands.dev/sdk/guides/skill" TargetMode="External"/><Relationship Id="rId2wy2cjb_lmx4-bg0yje09" Type="http://schemas.openxmlformats.org/officeDocument/2006/relationships/hyperlink" Target="https://docs.openhands.dev/overview/skills" TargetMode="External"/><Relationship Id="rIdvpavqn8rr80ww9_wohphy" Type="http://schemas.openxmlformats.org/officeDocument/2006/relationships/hyperlink" Target="https://docs.crewai.com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2026-09-02T07:26:39.996Z</dcterms:created>
  <dcterms:modified xsi:type="dcterms:W3CDTF">2026-09-02T07:26:39.997Z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