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D38F8" w14:textId="77777777" w:rsidR="0009242C" w:rsidRDefault="00000000" w:rsidP="009F7E13">
      <w:pPr>
        <w:jc w:val="both"/>
        <w:rPr>
          <w:rFonts w:ascii="Arial Bold" w:hAnsi="Arial Bold" w:cs="Arial Bold"/>
          <w:b/>
          <w:bCs/>
          <w:sz w:val="22"/>
          <w:szCs w:val="22"/>
          <w:lang w:val="en-AU" w:eastAsia="zh-CN"/>
        </w:rPr>
      </w:pPr>
      <w:r>
        <w:rPr>
          <w:rFonts w:ascii="Arial Bold" w:hAnsi="Arial Bold" w:cs="Arial Bold"/>
          <w:b/>
          <w:bCs/>
          <w:sz w:val="22"/>
          <w:szCs w:val="22"/>
          <w:lang w:eastAsia="zh-CN"/>
        </w:rPr>
        <w:t>Executive Summary</w:t>
      </w:r>
    </w:p>
    <w:p w14:paraId="2F5F6680" w14:textId="45F37A6E" w:rsidR="0009242C" w:rsidRDefault="00000000" w:rsidP="009F7E13">
      <w:pPr>
        <w:jc w:val="both"/>
        <w:rPr>
          <w:rFonts w:ascii="Arial Regular" w:hAnsi="Arial Regular" w:cs="Arial Regular"/>
          <w:sz w:val="22"/>
          <w:szCs w:val="22"/>
        </w:rPr>
      </w:pPr>
      <w:bookmarkStart w:id="0" w:name="_Toc97113846"/>
      <w:bookmarkEnd w:id="0"/>
      <w:r>
        <w:rPr>
          <w:rFonts w:ascii="Arial Regular" w:hAnsi="Arial Regular" w:cs="Arial Regular"/>
          <w:sz w:val="22"/>
          <w:szCs w:val="22"/>
        </w:rPr>
        <w:t>This report focuses on exploring the Australian Open tennis tournament dataset. The Australian Open is a prestigious tennis event with a 122-year history from 1906 to 2024, showcasing champions from various countries. This dataset covers numerous metrics and trends, offering comprehensive insights into the tournament's history and champions.</w:t>
      </w:r>
    </w:p>
    <w:p w14:paraId="79EBFF42" w14:textId="77777777" w:rsidR="0009242C" w:rsidRDefault="0009242C" w:rsidP="009F7E13">
      <w:pPr>
        <w:jc w:val="both"/>
        <w:rPr>
          <w:rFonts w:ascii="Arial Regular" w:hAnsi="Arial Regular" w:cs="Arial Regular"/>
          <w:sz w:val="22"/>
          <w:szCs w:val="22"/>
        </w:rPr>
      </w:pPr>
    </w:p>
    <w:p w14:paraId="6DAC811B" w14:textId="04AE614A" w:rsidR="0009242C" w:rsidRDefault="00000000" w:rsidP="009F7E13">
      <w:pPr>
        <w:jc w:val="both"/>
        <w:rPr>
          <w:rFonts w:ascii="Arial Regular" w:hAnsi="Arial Regular" w:cs="Arial Regular"/>
          <w:sz w:val="22"/>
          <w:szCs w:val="22"/>
        </w:rPr>
      </w:pPr>
      <w:r>
        <w:rPr>
          <w:rFonts w:ascii="Arial Regular" w:hAnsi="Arial Regular" w:cs="Arial Regular"/>
          <w:sz w:val="22"/>
          <w:szCs w:val="22"/>
        </w:rPr>
        <w:t xml:space="preserve">After </w:t>
      </w:r>
      <w:proofErr w:type="spellStart"/>
      <w:r>
        <w:rPr>
          <w:rFonts w:ascii="Arial Regular" w:hAnsi="Arial Regular" w:cs="Arial Regular"/>
          <w:sz w:val="22"/>
          <w:szCs w:val="22"/>
        </w:rPr>
        <w:t>analy</w:t>
      </w:r>
      <w:r w:rsidR="009A6F39">
        <w:rPr>
          <w:rFonts w:ascii="Arial Regular" w:hAnsi="Arial Regular" w:cs="Arial Regular"/>
          <w:sz w:val="22"/>
          <w:szCs w:val="22"/>
        </w:rPr>
        <w:t>s</w:t>
      </w:r>
      <w:r>
        <w:rPr>
          <w:rFonts w:ascii="Arial Regular" w:hAnsi="Arial Regular" w:cs="Arial Regular"/>
          <w:sz w:val="22"/>
          <w:szCs w:val="22"/>
        </w:rPr>
        <w:t>ing</w:t>
      </w:r>
      <w:proofErr w:type="spellEnd"/>
      <w:r>
        <w:rPr>
          <w:rFonts w:ascii="Arial Regular" w:hAnsi="Arial Regular" w:cs="Arial Regular"/>
          <w:sz w:val="22"/>
          <w:szCs w:val="22"/>
        </w:rPr>
        <w:t xml:space="preserve"> the dataset with Excel and Tableau, several key findings were identified:</w:t>
      </w:r>
    </w:p>
    <w:p w14:paraId="0DE1EBDD" w14:textId="77777777" w:rsidR="0009242C" w:rsidRDefault="0009242C" w:rsidP="009F7E13">
      <w:pPr>
        <w:jc w:val="both"/>
        <w:rPr>
          <w:rFonts w:ascii="Arial Regular" w:hAnsi="Arial Regular" w:cs="Arial Regular"/>
          <w:sz w:val="22"/>
          <w:szCs w:val="22"/>
        </w:rPr>
      </w:pPr>
    </w:p>
    <w:p w14:paraId="2F2224EC" w14:textId="527F0971" w:rsidR="0009242C" w:rsidRDefault="00000000" w:rsidP="009F7E13">
      <w:pPr>
        <w:numPr>
          <w:ilvl w:val="0"/>
          <w:numId w:val="1"/>
        </w:numPr>
        <w:jc w:val="both"/>
        <w:rPr>
          <w:rFonts w:ascii="Arial Regular" w:hAnsi="Arial Regular" w:cs="Arial Regular"/>
          <w:sz w:val="22"/>
          <w:szCs w:val="22"/>
        </w:rPr>
      </w:pPr>
      <w:r>
        <w:rPr>
          <w:rFonts w:ascii="Arial Regular" w:hAnsi="Arial Regular" w:cs="Arial Regular"/>
          <w:sz w:val="22"/>
          <w:szCs w:val="22"/>
        </w:rPr>
        <w:t xml:space="preserve">Top Players: 7 have won 5 or more titles, including </w:t>
      </w:r>
      <w:r w:rsidR="009A6F39">
        <w:rPr>
          <w:rFonts w:ascii="Arial Regular" w:hAnsi="Arial Regular" w:cs="Arial Regular"/>
          <w:sz w:val="22"/>
          <w:szCs w:val="22"/>
        </w:rPr>
        <w:t>four</w:t>
      </w:r>
      <w:r>
        <w:rPr>
          <w:rFonts w:ascii="Arial Regular" w:hAnsi="Arial Regular" w:cs="Arial Regular"/>
          <w:sz w:val="22"/>
          <w:szCs w:val="22"/>
        </w:rPr>
        <w:t xml:space="preserve"> women (Margaret Smith, Serena Williams, Monica Seles, and </w:t>
      </w:r>
      <w:proofErr w:type="spellStart"/>
      <w:r>
        <w:rPr>
          <w:rFonts w:ascii="Arial Regular" w:hAnsi="Arial Regular" w:cs="Arial Regular"/>
          <w:sz w:val="22"/>
          <w:szCs w:val="22"/>
        </w:rPr>
        <w:t>Nancye</w:t>
      </w:r>
      <w:proofErr w:type="spellEnd"/>
      <w:r>
        <w:rPr>
          <w:rFonts w:ascii="Arial Regular" w:hAnsi="Arial Regular" w:cs="Arial Regular"/>
          <w:sz w:val="22"/>
          <w:szCs w:val="22"/>
        </w:rPr>
        <w:t xml:space="preserve"> Wynne Bolton) and </w:t>
      </w:r>
      <w:r w:rsidR="009A6F39">
        <w:rPr>
          <w:rFonts w:ascii="Arial Regular" w:hAnsi="Arial Regular" w:cs="Arial Regular"/>
          <w:sz w:val="22"/>
          <w:szCs w:val="22"/>
        </w:rPr>
        <w:t>three</w:t>
      </w:r>
      <w:r>
        <w:rPr>
          <w:rFonts w:ascii="Arial Regular" w:hAnsi="Arial Regular" w:cs="Arial Regular"/>
          <w:sz w:val="22"/>
          <w:szCs w:val="22"/>
        </w:rPr>
        <w:t xml:space="preserve"> men (Novak Djokovic, Roger Federer, and Roy Emerson).</w:t>
      </w:r>
    </w:p>
    <w:p w14:paraId="4BEF4EF2" w14:textId="77777777" w:rsidR="0009242C" w:rsidRDefault="00000000" w:rsidP="009F7E13">
      <w:pPr>
        <w:numPr>
          <w:ilvl w:val="0"/>
          <w:numId w:val="1"/>
        </w:numPr>
        <w:jc w:val="both"/>
        <w:rPr>
          <w:rFonts w:ascii="Arial Regular" w:hAnsi="Arial Regular" w:cs="Arial Regular"/>
          <w:sz w:val="22"/>
          <w:szCs w:val="22"/>
        </w:rPr>
      </w:pPr>
      <w:r>
        <w:rPr>
          <w:rFonts w:ascii="Arial Regular" w:hAnsi="Arial Regular" w:cs="Arial Regular"/>
          <w:sz w:val="22"/>
          <w:szCs w:val="22"/>
        </w:rPr>
        <w:t>Champion Nationalities: The dataset reveals an increase in the diversity of champion nationalities over time. Before 1980, champions were predominantly from Australia, the USA, and Europe, but in recent years, a broader range of nationalities has emerged, reflecting the global growth of tennis.</w:t>
      </w:r>
    </w:p>
    <w:p w14:paraId="36B47241" w14:textId="208F2974" w:rsidR="0009242C" w:rsidRDefault="00000000" w:rsidP="009F7E13">
      <w:pPr>
        <w:numPr>
          <w:ilvl w:val="0"/>
          <w:numId w:val="1"/>
        </w:numPr>
        <w:jc w:val="both"/>
        <w:rPr>
          <w:rFonts w:ascii="Arial Regular" w:hAnsi="Arial Regular" w:cs="Arial Regular"/>
          <w:sz w:val="22"/>
          <w:szCs w:val="22"/>
        </w:rPr>
      </w:pPr>
      <w:r>
        <w:rPr>
          <w:rFonts w:ascii="Arial Regular" w:hAnsi="Arial Regular" w:cs="Arial Regular"/>
          <w:sz w:val="22"/>
          <w:szCs w:val="22"/>
        </w:rPr>
        <w:t xml:space="preserve">Novak Djokovic: Djokovic is the top player, with </w:t>
      </w:r>
      <w:r w:rsidR="009A6F39">
        <w:rPr>
          <w:rFonts w:ascii="Arial Regular" w:hAnsi="Arial Regular" w:cs="Arial Regular"/>
          <w:sz w:val="22"/>
          <w:szCs w:val="22"/>
        </w:rPr>
        <w:t>ten</w:t>
      </w:r>
      <w:r>
        <w:rPr>
          <w:rFonts w:ascii="Arial Regular" w:hAnsi="Arial Regular" w:cs="Arial Regular"/>
          <w:sz w:val="22"/>
          <w:szCs w:val="22"/>
        </w:rPr>
        <w:t xml:space="preserve"> championships from 2008 to 2023 and an average win rate of 0.6.</w:t>
      </w:r>
    </w:p>
    <w:p w14:paraId="4390075F" w14:textId="77777777" w:rsidR="0009242C" w:rsidRDefault="00000000" w:rsidP="009F7E13">
      <w:pPr>
        <w:numPr>
          <w:ilvl w:val="0"/>
          <w:numId w:val="1"/>
        </w:numPr>
        <w:jc w:val="both"/>
        <w:rPr>
          <w:rFonts w:ascii="Arial Regular" w:hAnsi="Arial Regular" w:cs="Arial Regular"/>
          <w:sz w:val="22"/>
          <w:szCs w:val="22"/>
        </w:rPr>
      </w:pPr>
      <w:r>
        <w:rPr>
          <w:rFonts w:ascii="Arial Regular" w:hAnsi="Arial Regular" w:cs="Arial Regular"/>
          <w:sz w:val="22"/>
          <w:szCs w:val="22"/>
        </w:rPr>
        <w:t>Australian Champions: Australia leads with 94 champions and 98 runners-up, reflecting its dominant tennis ecosystem over the years.</w:t>
      </w:r>
    </w:p>
    <w:p w14:paraId="0777A699" w14:textId="77777777" w:rsidR="0009242C" w:rsidRDefault="00000000" w:rsidP="009F7E13">
      <w:pPr>
        <w:numPr>
          <w:ilvl w:val="0"/>
          <w:numId w:val="1"/>
        </w:numPr>
        <w:jc w:val="both"/>
        <w:rPr>
          <w:rFonts w:ascii="Arial Regular" w:hAnsi="Arial Regular" w:cs="Arial Regular"/>
          <w:sz w:val="22"/>
          <w:szCs w:val="22"/>
        </w:rPr>
      </w:pPr>
      <w:r>
        <w:rPr>
          <w:rFonts w:ascii="Arial Regular" w:hAnsi="Arial Regular" w:cs="Arial Regular"/>
          <w:sz w:val="22"/>
          <w:szCs w:val="22"/>
        </w:rPr>
        <w:t>Highest Win Rate: The highest win rate for the Australian Open is 0.8889, achieved by Amélie Mauresmo in 2006.</w:t>
      </w:r>
    </w:p>
    <w:p w14:paraId="143F0251" w14:textId="1CF8ADC8" w:rsidR="0009242C" w:rsidRDefault="00000000" w:rsidP="009F7E13">
      <w:pPr>
        <w:numPr>
          <w:ilvl w:val="0"/>
          <w:numId w:val="1"/>
        </w:numPr>
        <w:jc w:val="both"/>
        <w:rPr>
          <w:rFonts w:ascii="Arial Regular" w:hAnsi="Arial Regular" w:cs="Arial Regular"/>
          <w:sz w:val="22"/>
          <w:szCs w:val="22"/>
        </w:rPr>
      </w:pPr>
      <w:r>
        <w:rPr>
          <w:rFonts w:ascii="Arial Regular" w:hAnsi="Arial Regular" w:cs="Arial Regular"/>
          <w:sz w:val="22"/>
          <w:szCs w:val="22"/>
        </w:rPr>
        <w:t xml:space="preserve">Andy Murray: Murray has been a runner-up </w:t>
      </w:r>
      <w:r w:rsidR="009A6F39">
        <w:rPr>
          <w:rFonts w:ascii="Arial Regular" w:hAnsi="Arial Regular" w:cs="Arial Regular"/>
          <w:sz w:val="22"/>
          <w:szCs w:val="22"/>
        </w:rPr>
        <w:t>five</w:t>
      </w:r>
      <w:r>
        <w:rPr>
          <w:rFonts w:ascii="Arial Regular" w:hAnsi="Arial Regular" w:cs="Arial Regular"/>
          <w:sz w:val="22"/>
          <w:szCs w:val="22"/>
        </w:rPr>
        <w:t xml:space="preserve"> times from 2010 to 2016, 4 of which were losses to Djokovic.</w:t>
      </w:r>
    </w:p>
    <w:p w14:paraId="5048A2E2" w14:textId="77777777" w:rsidR="0009242C" w:rsidRDefault="00000000" w:rsidP="009F7E13">
      <w:pPr>
        <w:numPr>
          <w:ilvl w:val="0"/>
          <w:numId w:val="1"/>
        </w:numPr>
        <w:jc w:val="both"/>
        <w:rPr>
          <w:rFonts w:ascii="Arial Regular" w:hAnsi="Arial Regular" w:cs="Arial Regular"/>
          <w:sz w:val="22"/>
          <w:szCs w:val="22"/>
        </w:rPr>
      </w:pPr>
      <w:r>
        <w:rPr>
          <w:rFonts w:ascii="Arial Regular" w:hAnsi="Arial Regular" w:cs="Arial Regular"/>
          <w:sz w:val="22"/>
          <w:szCs w:val="22"/>
        </w:rPr>
        <w:t>Gerald Patterson: Patterson has the most set wins, with an 18-16 match against John Hawkes in 1927.</w:t>
      </w:r>
    </w:p>
    <w:p w14:paraId="0D9DA08E" w14:textId="1F79ECBA" w:rsidR="0009242C" w:rsidRDefault="00000000" w:rsidP="009F7E13">
      <w:pPr>
        <w:numPr>
          <w:ilvl w:val="0"/>
          <w:numId w:val="1"/>
        </w:numPr>
        <w:jc w:val="both"/>
        <w:rPr>
          <w:rFonts w:ascii="Arial Regular" w:hAnsi="Arial Regular" w:cs="Arial Regular"/>
          <w:sz w:val="22"/>
          <w:szCs w:val="22"/>
        </w:rPr>
      </w:pPr>
      <w:r>
        <w:rPr>
          <w:rFonts w:ascii="Arial Regular" w:hAnsi="Arial Regular" w:cs="Arial Regular"/>
          <w:sz w:val="22"/>
          <w:szCs w:val="22"/>
        </w:rPr>
        <w:t xml:space="preserve">Win Rates and Sets: The parallel coordinates graph shows that men's champions' win ratios tend to flatten as they play more </w:t>
      </w:r>
      <w:proofErr w:type="gramStart"/>
      <w:r>
        <w:rPr>
          <w:rFonts w:ascii="Arial Regular" w:hAnsi="Arial Regular" w:cs="Arial Regular"/>
          <w:sz w:val="22"/>
          <w:szCs w:val="22"/>
        </w:rPr>
        <w:t>matches</w:t>
      </w:r>
      <w:proofErr w:type="gramEnd"/>
      <w:r>
        <w:rPr>
          <w:rFonts w:ascii="Arial Regular" w:hAnsi="Arial Regular" w:cs="Arial Regular"/>
          <w:sz w:val="22"/>
          <w:szCs w:val="22"/>
        </w:rPr>
        <w:t xml:space="preserve">, indicating consistency is crucial for success. Additionally, </w:t>
      </w:r>
      <w:r w:rsidR="009A6F39">
        <w:rPr>
          <w:rFonts w:ascii="Arial Regular" w:hAnsi="Arial Regular" w:cs="Arial Regular"/>
          <w:sz w:val="22"/>
          <w:szCs w:val="22"/>
        </w:rPr>
        <w:t>champions with varying win ratios across sets show</w:t>
      </w:r>
      <w:r>
        <w:rPr>
          <w:rFonts w:ascii="Arial Regular" w:hAnsi="Arial Regular" w:cs="Arial Regular"/>
          <w:sz w:val="22"/>
          <w:szCs w:val="22"/>
        </w:rPr>
        <w:t xml:space="preserve"> the adaptability needed to succeed in competitive tennis.</w:t>
      </w:r>
    </w:p>
    <w:p w14:paraId="73252300" w14:textId="5E88DC0B" w:rsidR="0009242C" w:rsidRDefault="00000000" w:rsidP="009F7E13">
      <w:pPr>
        <w:numPr>
          <w:ilvl w:val="0"/>
          <w:numId w:val="1"/>
        </w:numPr>
        <w:jc w:val="both"/>
        <w:rPr>
          <w:rFonts w:ascii="Arial Regular" w:hAnsi="Arial Regular" w:cs="Arial Regular"/>
          <w:sz w:val="22"/>
          <w:szCs w:val="22"/>
        </w:rPr>
      </w:pPr>
      <w:r>
        <w:rPr>
          <w:rFonts w:ascii="Arial Regular" w:hAnsi="Arial Regular" w:cs="Arial Regular"/>
          <w:sz w:val="22"/>
          <w:szCs w:val="22"/>
        </w:rPr>
        <w:t>Runner-Up Diversity: Andy Murray lead</w:t>
      </w:r>
      <w:r w:rsidR="009A6F39">
        <w:rPr>
          <w:rFonts w:ascii="Arial Regular" w:hAnsi="Arial Regular" w:cs="Arial Regular"/>
          <w:sz w:val="22"/>
          <w:szCs w:val="22"/>
        </w:rPr>
        <w:t xml:space="preserve">s the top runner-up list, followed by Rafael Nadal, reflecting a range of nationalities among </w:t>
      </w:r>
      <w:proofErr w:type="spellStart"/>
      <w:r w:rsidR="009A6F39">
        <w:rPr>
          <w:rFonts w:ascii="Arial Regular" w:hAnsi="Arial Regular" w:cs="Arial Regular"/>
          <w:sz w:val="22"/>
          <w:szCs w:val="22"/>
        </w:rPr>
        <w:t>runner-ups</w:t>
      </w:r>
      <w:proofErr w:type="spellEnd"/>
      <w:r>
        <w:rPr>
          <w:rFonts w:ascii="Arial Regular" w:hAnsi="Arial Regular" w:cs="Arial Regular"/>
          <w:sz w:val="22"/>
          <w:szCs w:val="22"/>
        </w:rPr>
        <w:t>.</w:t>
      </w:r>
    </w:p>
    <w:p w14:paraId="72BCB8C6" w14:textId="77777777" w:rsidR="0009242C" w:rsidRDefault="00000000" w:rsidP="009F7E13">
      <w:pPr>
        <w:numPr>
          <w:ilvl w:val="0"/>
          <w:numId w:val="1"/>
        </w:numPr>
        <w:jc w:val="both"/>
        <w:rPr>
          <w:rFonts w:ascii="Arial Regular" w:hAnsi="Arial Regular" w:cs="Arial Regular"/>
          <w:sz w:val="22"/>
          <w:szCs w:val="22"/>
        </w:rPr>
      </w:pPr>
      <w:r>
        <w:rPr>
          <w:rFonts w:ascii="Arial Regular" w:hAnsi="Arial Regular" w:cs="Arial Regular"/>
          <w:sz w:val="22"/>
          <w:szCs w:val="22"/>
        </w:rPr>
        <w:t xml:space="preserve">Top 5 Champions Over Time: In the women's tournament, Daphne </w:t>
      </w:r>
      <w:proofErr w:type="spellStart"/>
      <w:r>
        <w:rPr>
          <w:rFonts w:ascii="Arial Regular" w:hAnsi="Arial Regular" w:cs="Arial Regular"/>
          <w:sz w:val="22"/>
          <w:szCs w:val="22"/>
        </w:rPr>
        <w:t>Akhurst</w:t>
      </w:r>
      <w:proofErr w:type="spellEnd"/>
      <w:r>
        <w:rPr>
          <w:rFonts w:ascii="Arial Regular" w:hAnsi="Arial Regular" w:cs="Arial Regular"/>
          <w:sz w:val="22"/>
          <w:szCs w:val="22"/>
        </w:rPr>
        <w:t xml:space="preserve"> dominated from 1925 to 1930, followed by </w:t>
      </w:r>
      <w:proofErr w:type="spellStart"/>
      <w:r>
        <w:rPr>
          <w:rFonts w:ascii="Arial Regular" w:hAnsi="Arial Regular" w:cs="Arial Regular"/>
          <w:sz w:val="22"/>
          <w:szCs w:val="22"/>
        </w:rPr>
        <w:t>Nancye</w:t>
      </w:r>
      <w:proofErr w:type="spellEnd"/>
      <w:r>
        <w:rPr>
          <w:rFonts w:ascii="Arial Regular" w:hAnsi="Arial Regular" w:cs="Arial Regular"/>
          <w:sz w:val="22"/>
          <w:szCs w:val="22"/>
        </w:rPr>
        <w:t xml:space="preserve"> Wynne Bolton from 1937 to 1951. For the men's tournament, Roy Emerson was key from 1961 to 1967, and recently, Roger Federer and Novak Djokovic have been dominant from 2007 to 2019.</w:t>
      </w:r>
    </w:p>
    <w:p w14:paraId="4D0974D9" w14:textId="77777777" w:rsidR="0009242C" w:rsidRDefault="0009242C" w:rsidP="009F7E13">
      <w:pPr>
        <w:jc w:val="both"/>
        <w:rPr>
          <w:rFonts w:ascii="Arial Regular" w:hAnsi="Arial Regular" w:cs="Arial Regular"/>
          <w:sz w:val="22"/>
          <w:szCs w:val="22"/>
        </w:rPr>
      </w:pPr>
    </w:p>
    <w:p w14:paraId="7ED4787A"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rPr>
        <w:t xml:space="preserve">    </w:t>
      </w:r>
    </w:p>
    <w:p w14:paraId="381EE3BF" w14:textId="77777777" w:rsidR="0009242C" w:rsidRDefault="0009242C" w:rsidP="009F7E13">
      <w:pPr>
        <w:jc w:val="both"/>
        <w:rPr>
          <w:rFonts w:ascii="Arial Regular" w:hAnsi="Arial Regular" w:cs="Arial Regular"/>
          <w:sz w:val="22"/>
          <w:szCs w:val="22"/>
        </w:rPr>
      </w:pPr>
    </w:p>
    <w:p w14:paraId="1413E0CB" w14:textId="77777777" w:rsidR="0009242C" w:rsidRDefault="0009242C" w:rsidP="009F7E13">
      <w:pPr>
        <w:jc w:val="both"/>
        <w:rPr>
          <w:rFonts w:ascii="Arial Regular" w:hAnsi="Arial Regular" w:cs="Arial Regular"/>
          <w:sz w:val="22"/>
          <w:szCs w:val="22"/>
        </w:rPr>
      </w:pPr>
    </w:p>
    <w:p w14:paraId="59A38D62" w14:textId="77777777" w:rsidR="0009242C" w:rsidRDefault="0009242C" w:rsidP="009F7E13">
      <w:pPr>
        <w:jc w:val="both"/>
        <w:rPr>
          <w:rFonts w:ascii="Arial Regular" w:hAnsi="Arial Regular" w:cs="Arial Regular"/>
          <w:sz w:val="22"/>
          <w:szCs w:val="22"/>
        </w:rPr>
      </w:pPr>
    </w:p>
    <w:p w14:paraId="7273C6EF" w14:textId="77777777" w:rsidR="0009242C" w:rsidRDefault="00000000" w:rsidP="009F7E13">
      <w:pPr>
        <w:jc w:val="both"/>
        <w:rPr>
          <w:rFonts w:ascii="Arial Bold" w:hAnsi="Arial Bold" w:cs="Arial Bold"/>
          <w:b/>
          <w:bCs/>
          <w:sz w:val="22"/>
          <w:szCs w:val="22"/>
        </w:rPr>
      </w:pPr>
      <w:r>
        <w:rPr>
          <w:rFonts w:ascii="Arial Bold" w:hAnsi="Arial Bold" w:cs="Arial Bold"/>
          <w:b/>
          <w:bCs/>
          <w:sz w:val="22"/>
          <w:szCs w:val="22"/>
        </w:rPr>
        <w:t>Data Exploration:</w:t>
      </w:r>
    </w:p>
    <w:tbl>
      <w:tblPr>
        <w:tblW w:w="8807" w:type="dxa"/>
        <w:tblCellMar>
          <w:left w:w="0" w:type="dxa"/>
          <w:right w:w="0" w:type="dxa"/>
        </w:tblCellMar>
        <w:tblLook w:val="04A0" w:firstRow="1" w:lastRow="0" w:firstColumn="1" w:lastColumn="0" w:noHBand="0" w:noVBand="1"/>
      </w:tblPr>
      <w:tblGrid>
        <w:gridCol w:w="2168"/>
        <w:gridCol w:w="2227"/>
        <w:gridCol w:w="4420"/>
      </w:tblGrid>
      <w:tr w:rsidR="0009242C" w14:paraId="5063FE17" w14:textId="77777777">
        <w:trPr>
          <w:trHeight w:val="320"/>
        </w:trPr>
        <w:tc>
          <w:tcPr>
            <w:tcW w:w="2160" w:type="dxa"/>
            <w:tcBorders>
              <w:top w:val="single" w:sz="4" w:space="0" w:color="auto"/>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5EA3B2F6"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lastRenderedPageBreak/>
              <w:t>Attribute Name</w:t>
            </w:r>
          </w:p>
        </w:tc>
        <w:tc>
          <w:tcPr>
            <w:tcW w:w="2227" w:type="dxa"/>
            <w:tcBorders>
              <w:top w:val="single" w:sz="4" w:space="0" w:color="auto"/>
              <w:left w:val="nil"/>
              <w:bottom w:val="single" w:sz="4" w:space="0" w:color="auto"/>
              <w:right w:val="single" w:sz="4" w:space="0" w:color="auto"/>
            </w:tcBorders>
            <w:shd w:val="clear" w:color="auto" w:fill="auto"/>
            <w:noWrap/>
            <w:tcMar>
              <w:top w:w="20" w:type="dxa"/>
              <w:left w:w="20" w:type="dxa"/>
              <w:right w:w="20" w:type="dxa"/>
            </w:tcMar>
            <w:vAlign w:val="bottom"/>
          </w:tcPr>
          <w:p w14:paraId="49157609"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Type</w:t>
            </w:r>
          </w:p>
        </w:tc>
        <w:tc>
          <w:tcPr>
            <w:tcW w:w="4420" w:type="dxa"/>
            <w:tcBorders>
              <w:top w:val="single" w:sz="4" w:space="0" w:color="auto"/>
              <w:left w:val="nil"/>
              <w:bottom w:val="single" w:sz="4" w:space="0" w:color="auto"/>
              <w:right w:val="single" w:sz="4" w:space="0" w:color="auto"/>
            </w:tcBorders>
            <w:shd w:val="clear" w:color="auto" w:fill="auto"/>
            <w:noWrap/>
            <w:tcMar>
              <w:top w:w="20" w:type="dxa"/>
              <w:left w:w="20" w:type="dxa"/>
              <w:right w:w="20" w:type="dxa"/>
            </w:tcMar>
            <w:vAlign w:val="bottom"/>
          </w:tcPr>
          <w:p w14:paraId="575E1BF9"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Description</w:t>
            </w:r>
          </w:p>
        </w:tc>
      </w:tr>
      <w:tr w:rsidR="0009242C" w14:paraId="12F6415D" w14:textId="77777777">
        <w:trPr>
          <w:trHeight w:val="36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2717A202"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Year</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50AEDE8C"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Numeric (4-digit)</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5F9C870F"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year the tournament took place.</w:t>
            </w:r>
          </w:p>
        </w:tc>
      </w:tr>
      <w:tr w:rsidR="0009242C" w14:paraId="4DE82048" w14:textId="77777777">
        <w:trPr>
          <w:trHeight w:val="70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0C364A61"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Gender</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19D02A8E"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Categorical (Binary)</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61FD4FB8"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gender of the champion, indicating if it was a men's or women's tournament.</w:t>
            </w:r>
          </w:p>
        </w:tc>
      </w:tr>
      <w:tr w:rsidR="0009242C" w14:paraId="09FC5086" w14:textId="77777777">
        <w:trPr>
          <w:trHeight w:val="36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5D2B4D36"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Champion</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613DEF66"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Categorical (String)</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201613A4"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name of the tournament winner.</w:t>
            </w:r>
          </w:p>
        </w:tc>
      </w:tr>
      <w:tr w:rsidR="0009242C" w14:paraId="3F8087DE" w14:textId="77777777">
        <w:trPr>
          <w:trHeight w:val="70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2FA9E545"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Champion Nationality</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23CD5193"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Categorical (3-letter)</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16BF2F26"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3-letter ISO code indicating the champion's nationality.</w:t>
            </w:r>
          </w:p>
        </w:tc>
      </w:tr>
      <w:tr w:rsidR="0009242C" w14:paraId="784A763A" w14:textId="77777777">
        <w:trPr>
          <w:trHeight w:val="36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40E918EE"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Champion Country</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496E2EAA"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Categorical (String)</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2300FF2F"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country of origin of the champion.</w:t>
            </w:r>
          </w:p>
        </w:tc>
      </w:tr>
      <w:tr w:rsidR="0009242C" w14:paraId="17D5DFA8" w14:textId="77777777">
        <w:trPr>
          <w:trHeight w:val="70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5BA68C33"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Champion Seed</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1F5D6768"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Numeric (Integer)</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5D54C351"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preliminary ranking of the champion for the purposes of the draw.</w:t>
            </w:r>
          </w:p>
        </w:tc>
      </w:tr>
      <w:tr w:rsidR="0009242C" w14:paraId="184DED4E" w14:textId="77777777">
        <w:trPr>
          <w:trHeight w:val="70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02F1F2B9"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Score</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16F949A6"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Categorical (String)</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748B1FC0"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score for each set, represented as pairs of integers separated by commas.</w:t>
            </w:r>
          </w:p>
        </w:tc>
      </w:tr>
      <w:tr w:rsidR="0009242C" w14:paraId="484D663E" w14:textId="77777777">
        <w:trPr>
          <w:trHeight w:val="70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00959A0A"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Runner-up</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064316CD"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Categorical (String)</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56CE6D8C"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name of the runner-up in the tournament.</w:t>
            </w:r>
          </w:p>
        </w:tc>
      </w:tr>
      <w:tr w:rsidR="0009242C" w14:paraId="54B055B8" w14:textId="77777777">
        <w:trPr>
          <w:trHeight w:val="70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5C583A9A"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Runner-up Nationality</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3FCD1D3B"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Categorical (3-letter)</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3AE740DE"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3-letter ISO code indicating the runner-up's nationality.</w:t>
            </w:r>
          </w:p>
        </w:tc>
      </w:tr>
      <w:tr w:rsidR="0009242C" w14:paraId="78F34F93" w14:textId="77777777">
        <w:trPr>
          <w:trHeight w:val="36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0BD56237"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Runner-up Country</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1425A0D0"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Categorical (String)</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02971452"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country of origin of the runner-up.</w:t>
            </w:r>
          </w:p>
        </w:tc>
      </w:tr>
      <w:tr w:rsidR="0009242C" w14:paraId="19209F21" w14:textId="77777777">
        <w:trPr>
          <w:trHeight w:val="70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2940A6AE"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Runner-up Seed</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30471763"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Numeric (Integer)</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3258F0F4"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preliminary ranking of the runner-up for the purposes of the draw.</w:t>
            </w:r>
          </w:p>
        </w:tc>
      </w:tr>
      <w:tr w:rsidR="0009242C" w14:paraId="71EE12FE" w14:textId="77777777">
        <w:trPr>
          <w:trHeight w:val="36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13856A57"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1st Set Win Rate</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004D4BAC"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Numeric (Ratio)</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305CC493"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percentage of wins in the first set.</w:t>
            </w:r>
          </w:p>
        </w:tc>
      </w:tr>
      <w:tr w:rsidR="0009242C" w14:paraId="3762822D" w14:textId="77777777">
        <w:trPr>
          <w:trHeight w:val="36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555B8F76"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2nd Set Win Rate</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349B7F01"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Numeric (Ratio)</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4C641ABC"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percentage of wins in the second set.</w:t>
            </w:r>
          </w:p>
        </w:tc>
      </w:tr>
      <w:tr w:rsidR="0009242C" w14:paraId="4C1F33B8" w14:textId="77777777">
        <w:trPr>
          <w:trHeight w:val="36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5928D70E"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3rd Set Win Rate</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0ECF24B5"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Numeric (Ratio)</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3BBFE774"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percentage of wins in the third set.</w:t>
            </w:r>
          </w:p>
        </w:tc>
      </w:tr>
      <w:tr w:rsidR="0009242C" w14:paraId="1A212359" w14:textId="77777777">
        <w:trPr>
          <w:trHeight w:val="36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640FE6DE"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4th Set Win Rate</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5118C85C"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Numeric (Ratio)</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3ECB58F9"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percentage of wins in the fourth set.</w:t>
            </w:r>
          </w:p>
        </w:tc>
      </w:tr>
      <w:tr w:rsidR="0009242C" w14:paraId="3679A9E9" w14:textId="77777777">
        <w:trPr>
          <w:trHeight w:val="36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0455CD7A"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5th Set Win Rate</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6AB86103"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Numeric (Ratio)</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3E6EA9EC"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percentage of wins in the fifth set.</w:t>
            </w:r>
          </w:p>
        </w:tc>
      </w:tr>
      <w:tr w:rsidR="0009242C" w14:paraId="4754E743" w14:textId="77777777">
        <w:trPr>
          <w:trHeight w:val="70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74782E0D"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Win</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418BA3D4"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Numeric (Integer)</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2518E6A4"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total number of wins by the champion.</w:t>
            </w:r>
          </w:p>
        </w:tc>
      </w:tr>
      <w:tr w:rsidR="0009242C" w14:paraId="41BB4FCB" w14:textId="77777777">
        <w:trPr>
          <w:trHeight w:val="70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1F38CC55"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Loss</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6103AE4C"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Numeric (Integer)</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65427625"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total number of losses by the champion.</w:t>
            </w:r>
          </w:p>
        </w:tc>
      </w:tr>
      <w:tr w:rsidR="0009242C" w14:paraId="4234B31A" w14:textId="77777777">
        <w:trPr>
          <w:trHeight w:val="700"/>
        </w:trPr>
        <w:tc>
          <w:tcPr>
            <w:tcW w:w="0" w:type="auto"/>
            <w:tcBorders>
              <w:top w:val="nil"/>
              <w:left w:val="single" w:sz="4" w:space="0" w:color="auto"/>
              <w:bottom w:val="single" w:sz="4" w:space="0" w:color="auto"/>
              <w:right w:val="single" w:sz="4" w:space="0" w:color="auto"/>
            </w:tcBorders>
            <w:shd w:val="clear" w:color="auto" w:fill="auto"/>
            <w:noWrap/>
            <w:tcMar>
              <w:top w:w="20" w:type="dxa"/>
              <w:left w:w="20" w:type="dxa"/>
              <w:right w:w="20" w:type="dxa"/>
            </w:tcMar>
            <w:vAlign w:val="bottom"/>
          </w:tcPr>
          <w:p w14:paraId="49F0FD3B"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Win Ratio</w:t>
            </w:r>
          </w:p>
        </w:tc>
        <w:tc>
          <w:tcPr>
            <w:tcW w:w="0" w:type="auto"/>
            <w:tcBorders>
              <w:top w:val="nil"/>
              <w:left w:val="nil"/>
              <w:bottom w:val="single" w:sz="4" w:space="0" w:color="auto"/>
              <w:right w:val="single" w:sz="4" w:space="0" w:color="auto"/>
            </w:tcBorders>
            <w:shd w:val="clear" w:color="auto" w:fill="auto"/>
            <w:noWrap/>
            <w:tcMar>
              <w:top w:w="20" w:type="dxa"/>
              <w:left w:w="20" w:type="dxa"/>
              <w:right w:w="20" w:type="dxa"/>
            </w:tcMar>
            <w:vAlign w:val="bottom"/>
          </w:tcPr>
          <w:p w14:paraId="3D2F9C25"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Numeric (Ratio)</w:t>
            </w:r>
          </w:p>
        </w:tc>
        <w:tc>
          <w:tcPr>
            <w:tcW w:w="4420" w:type="dxa"/>
            <w:tcBorders>
              <w:top w:val="nil"/>
              <w:left w:val="nil"/>
              <w:bottom w:val="single" w:sz="4" w:space="0" w:color="auto"/>
              <w:right w:val="single" w:sz="4" w:space="0" w:color="auto"/>
            </w:tcBorders>
            <w:shd w:val="clear" w:color="auto" w:fill="auto"/>
            <w:tcMar>
              <w:top w:w="20" w:type="dxa"/>
              <w:left w:w="20" w:type="dxa"/>
              <w:right w:w="20" w:type="dxa"/>
            </w:tcMar>
            <w:vAlign w:val="bottom"/>
          </w:tcPr>
          <w:p w14:paraId="66861DDE" w14:textId="77777777"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The ratio of wins to losses for the champion.</w:t>
            </w:r>
          </w:p>
        </w:tc>
      </w:tr>
    </w:tbl>
    <w:p w14:paraId="7AC7C409" w14:textId="77777777" w:rsidR="0009242C" w:rsidRDefault="0009242C" w:rsidP="009F7E13">
      <w:pPr>
        <w:jc w:val="both"/>
        <w:rPr>
          <w:rFonts w:ascii="Arial Regular" w:hAnsi="Arial Regular" w:cs="Arial Regular"/>
          <w:sz w:val="22"/>
          <w:szCs w:val="22"/>
        </w:rPr>
      </w:pPr>
    </w:p>
    <w:p w14:paraId="5CB87412" w14:textId="77777777" w:rsidR="0009242C" w:rsidRDefault="00000000" w:rsidP="009F7E13">
      <w:pPr>
        <w:jc w:val="both"/>
        <w:rPr>
          <w:rFonts w:ascii="Arial Bold" w:hAnsi="Arial Bold" w:cs="Arial Bold"/>
          <w:b/>
          <w:bCs/>
          <w:sz w:val="22"/>
          <w:szCs w:val="22"/>
        </w:rPr>
      </w:pPr>
      <w:r>
        <w:rPr>
          <w:rFonts w:ascii="Arial Bold" w:hAnsi="Arial Bold" w:cs="Arial Bold"/>
          <w:b/>
          <w:bCs/>
          <w:sz w:val="22"/>
          <w:szCs w:val="22"/>
        </w:rPr>
        <w:t>New Columns Created for Analysis:</w:t>
      </w:r>
    </w:p>
    <w:p w14:paraId="2B49B879" w14:textId="0EBCB619" w:rsidR="0009242C" w:rsidRDefault="00000000" w:rsidP="009F7E13">
      <w:pPr>
        <w:numPr>
          <w:ilvl w:val="0"/>
          <w:numId w:val="2"/>
        </w:numPr>
        <w:jc w:val="both"/>
        <w:rPr>
          <w:rFonts w:ascii="Arial Regular" w:hAnsi="Arial Regular" w:cs="Arial Regular"/>
          <w:sz w:val="22"/>
          <w:szCs w:val="22"/>
        </w:rPr>
      </w:pPr>
      <w:r>
        <w:rPr>
          <w:rFonts w:ascii="Arial Regular" w:hAnsi="Arial Regular" w:cs="Arial Regular"/>
          <w:sz w:val="22"/>
          <w:szCs w:val="22"/>
        </w:rPr>
        <w:t xml:space="preserve">Set Win Rates: Offer insights into a player's performance across different sets, showing </w:t>
      </w:r>
      <w:r w:rsidR="009A6F39">
        <w:rPr>
          <w:rFonts w:ascii="Arial Regular" w:hAnsi="Arial Regular" w:cs="Arial Regular"/>
          <w:sz w:val="22"/>
          <w:szCs w:val="22"/>
        </w:rPr>
        <w:t>consistency</w:t>
      </w:r>
      <w:r>
        <w:rPr>
          <w:rFonts w:ascii="Arial Regular" w:hAnsi="Arial Regular" w:cs="Arial Regular"/>
          <w:sz w:val="22"/>
          <w:szCs w:val="22"/>
        </w:rPr>
        <w:t xml:space="preserve"> across the game.</w:t>
      </w:r>
    </w:p>
    <w:p w14:paraId="4636BCF1" w14:textId="6789D088" w:rsidR="0009242C" w:rsidRDefault="00000000" w:rsidP="009F7E13">
      <w:pPr>
        <w:numPr>
          <w:ilvl w:val="0"/>
          <w:numId w:val="2"/>
        </w:numPr>
        <w:jc w:val="both"/>
        <w:rPr>
          <w:rFonts w:ascii="Arial Regular" w:hAnsi="Arial Regular" w:cs="Arial Regular"/>
          <w:sz w:val="22"/>
          <w:szCs w:val="22"/>
        </w:rPr>
      </w:pPr>
      <w:r>
        <w:rPr>
          <w:rFonts w:ascii="Arial Regular" w:hAnsi="Arial Regular" w:cs="Arial Regular"/>
          <w:sz w:val="22"/>
          <w:szCs w:val="22"/>
        </w:rPr>
        <w:t xml:space="preserve">Win and Loss: Track the </w:t>
      </w:r>
      <w:r w:rsidR="009A6F39">
        <w:rPr>
          <w:rFonts w:ascii="Arial Regular" w:hAnsi="Arial Regular" w:cs="Arial Regular"/>
          <w:sz w:val="22"/>
          <w:szCs w:val="22"/>
        </w:rPr>
        <w:t>champion's total number of wins and losses</w:t>
      </w:r>
      <w:r>
        <w:rPr>
          <w:rFonts w:ascii="Arial Regular" w:hAnsi="Arial Regular" w:cs="Arial Regular"/>
          <w:sz w:val="22"/>
          <w:szCs w:val="22"/>
        </w:rPr>
        <w:t>, giving a clearer view of their success rate.</w:t>
      </w:r>
    </w:p>
    <w:p w14:paraId="3CFB523A" w14:textId="77777777" w:rsidR="0009242C" w:rsidRDefault="00000000" w:rsidP="009F7E13">
      <w:pPr>
        <w:numPr>
          <w:ilvl w:val="0"/>
          <w:numId w:val="2"/>
        </w:numPr>
        <w:jc w:val="both"/>
        <w:rPr>
          <w:rFonts w:ascii="Arial Regular" w:hAnsi="Arial Regular" w:cs="Arial Regular"/>
          <w:sz w:val="22"/>
          <w:szCs w:val="22"/>
        </w:rPr>
      </w:pPr>
      <w:r>
        <w:rPr>
          <w:rFonts w:ascii="Arial Regular" w:hAnsi="Arial Regular" w:cs="Arial Regular"/>
          <w:sz w:val="22"/>
          <w:szCs w:val="22"/>
        </w:rPr>
        <w:t>Win Ratio: Provides a direct measure of a player's success, indicating the ratio of their wins to losses.</w:t>
      </w:r>
    </w:p>
    <w:p w14:paraId="108E4B66" w14:textId="59DFAF8C" w:rsidR="0009242C" w:rsidRDefault="00000000" w:rsidP="009F7E13">
      <w:pPr>
        <w:numPr>
          <w:ilvl w:val="0"/>
          <w:numId w:val="2"/>
        </w:numPr>
        <w:jc w:val="both"/>
        <w:rPr>
          <w:rFonts w:ascii="Arial Regular" w:hAnsi="Arial Regular" w:cs="Arial Regular"/>
          <w:sz w:val="22"/>
          <w:szCs w:val="22"/>
        </w:rPr>
      </w:pPr>
      <w:r>
        <w:rPr>
          <w:rFonts w:ascii="Arial Regular" w:hAnsi="Arial Regular" w:cs="Arial Regular"/>
          <w:sz w:val="22"/>
          <w:szCs w:val="22"/>
        </w:rPr>
        <w:lastRenderedPageBreak/>
        <w:t xml:space="preserve">Set Played: Shows the number of sets </w:t>
      </w:r>
      <w:r w:rsidR="009A6F39">
        <w:rPr>
          <w:rFonts w:ascii="Arial Regular" w:hAnsi="Arial Regular" w:cs="Arial Regular"/>
          <w:sz w:val="22"/>
          <w:szCs w:val="22"/>
        </w:rPr>
        <w:t>each champion plays</w:t>
      </w:r>
      <w:r>
        <w:rPr>
          <w:rFonts w:ascii="Arial Regular" w:hAnsi="Arial Regular" w:cs="Arial Regular"/>
          <w:sz w:val="22"/>
          <w:szCs w:val="22"/>
        </w:rPr>
        <w:t>, reflecting the endurance and consistency needed to succeed in the tournament.</w:t>
      </w:r>
    </w:p>
    <w:p w14:paraId="3DEF30BE" w14:textId="77777777" w:rsidR="0009242C" w:rsidRDefault="0009242C" w:rsidP="009F7E13">
      <w:pPr>
        <w:jc w:val="both"/>
        <w:rPr>
          <w:rFonts w:ascii="Arial Regular" w:hAnsi="Arial Regular" w:cs="Arial Regular"/>
          <w:sz w:val="22"/>
          <w:szCs w:val="22"/>
        </w:rPr>
      </w:pPr>
    </w:p>
    <w:p w14:paraId="1C2DB4B4" w14:textId="77777777" w:rsidR="0009242C" w:rsidRDefault="00000000" w:rsidP="009F7E13">
      <w:pPr>
        <w:jc w:val="both"/>
        <w:rPr>
          <w:rFonts w:ascii="Arial Bold" w:hAnsi="Arial Bold" w:cs="Arial Bold"/>
          <w:b/>
          <w:bCs/>
          <w:sz w:val="22"/>
          <w:szCs w:val="22"/>
          <w:lang w:val="en-AU" w:eastAsia="zh-CN"/>
        </w:rPr>
      </w:pPr>
      <w:bookmarkStart w:id="1" w:name="_Toc97113849"/>
      <w:bookmarkEnd w:id="1"/>
      <w:r>
        <w:rPr>
          <w:rFonts w:ascii="Arial Bold" w:hAnsi="Arial Bold" w:cs="Arial Bold"/>
          <w:b/>
          <w:bCs/>
          <w:sz w:val="22"/>
          <w:szCs w:val="22"/>
          <w:lang w:val="en-AU" w:eastAsia="zh-CN"/>
        </w:rPr>
        <w:t xml:space="preserve">Geographic Distribution </w:t>
      </w:r>
    </w:p>
    <w:p w14:paraId="207A2267" w14:textId="77777777" w:rsidR="0009242C" w:rsidRDefault="00000000" w:rsidP="009F7E13">
      <w:pPr>
        <w:jc w:val="both"/>
        <w:rPr>
          <w:rFonts w:ascii="Arial Regular" w:hAnsi="Arial Regular" w:cs="Arial Regular"/>
          <w:sz w:val="22"/>
          <w:szCs w:val="22"/>
        </w:rPr>
      </w:pPr>
      <w:r>
        <w:rPr>
          <w:rFonts w:ascii="Arial Regular" w:hAnsi="Arial Regular" w:cs="Arial Regular"/>
          <w:noProof/>
          <w:sz w:val="22"/>
          <w:szCs w:val="22"/>
        </w:rPr>
        <w:drawing>
          <wp:inline distT="0" distB="0" distL="114300" distR="114300" wp14:anchorId="14A2C51B" wp14:editId="43704F63">
            <wp:extent cx="5274310" cy="3012440"/>
            <wp:effectExtent l="0" t="0" r="8890" b="1016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274310" cy="3012440"/>
                    </a:xfrm>
                    <a:prstGeom prst="rect">
                      <a:avLst/>
                    </a:prstGeom>
                    <a:noFill/>
                    <a:ln w="9525">
                      <a:noFill/>
                    </a:ln>
                  </pic:spPr>
                </pic:pic>
              </a:graphicData>
            </a:graphic>
          </wp:inline>
        </w:drawing>
      </w:r>
    </w:p>
    <w:p w14:paraId="08868810" w14:textId="77777777" w:rsidR="0009242C" w:rsidRDefault="00000000" w:rsidP="009F7E13">
      <w:pPr>
        <w:jc w:val="both"/>
        <w:rPr>
          <w:rFonts w:ascii="Arial Italic" w:hAnsi="Arial Italic" w:cs="Arial Italic"/>
          <w:i/>
          <w:iCs/>
          <w:sz w:val="22"/>
          <w:szCs w:val="22"/>
          <w:lang w:eastAsia="zh-CN"/>
        </w:rPr>
      </w:pPr>
      <w:r>
        <w:rPr>
          <w:rFonts w:ascii="Arial Italic" w:hAnsi="Arial Italic" w:cs="Arial Italic"/>
          <w:i/>
          <w:iCs/>
          <w:sz w:val="22"/>
          <w:szCs w:val="22"/>
          <w:lang w:eastAsia="zh-CN"/>
        </w:rPr>
        <w:t>Figure 1 Dual Axis Geographic Distribution of Champions and Runner-Ups</w:t>
      </w:r>
    </w:p>
    <w:p w14:paraId="2C1E7B98" w14:textId="77777777" w:rsidR="0009242C" w:rsidRDefault="0009242C" w:rsidP="009F7E13">
      <w:pPr>
        <w:jc w:val="both"/>
        <w:rPr>
          <w:rFonts w:ascii="Arial Regular" w:hAnsi="Arial Regular" w:cs="Arial Regular"/>
          <w:sz w:val="22"/>
          <w:szCs w:val="22"/>
          <w:lang w:val="en-AU" w:eastAsia="zh-CN"/>
        </w:rPr>
      </w:pPr>
    </w:p>
    <w:p w14:paraId="28784F63" w14:textId="49B3B893" w:rsidR="0009242C" w:rsidRDefault="00000000" w:rsidP="009F7E13">
      <w:pPr>
        <w:jc w:val="both"/>
        <w:rPr>
          <w:rFonts w:ascii="Arial Regular" w:hAnsi="Arial Regular" w:cs="Arial Regular"/>
          <w:sz w:val="22"/>
          <w:szCs w:val="22"/>
          <w:lang w:val="en-AU" w:eastAsia="zh-CN"/>
        </w:rPr>
      </w:pPr>
      <w:r>
        <w:rPr>
          <w:rFonts w:ascii="Arial Regular" w:hAnsi="Arial Regular" w:cs="Arial Regular"/>
          <w:sz w:val="22"/>
          <w:szCs w:val="22"/>
          <w:lang w:val="en-AU" w:eastAsia="zh-CN"/>
        </w:rPr>
        <w:t xml:space="preserve">Figure 1 presents a global perspective on the Australian Open's champions and </w:t>
      </w:r>
      <w:proofErr w:type="spellStart"/>
      <w:r>
        <w:rPr>
          <w:rFonts w:ascii="Arial Regular" w:hAnsi="Arial Regular" w:cs="Arial Regular"/>
          <w:sz w:val="22"/>
          <w:szCs w:val="22"/>
          <w:lang w:val="en-AU" w:eastAsia="zh-CN"/>
        </w:rPr>
        <w:t>runner-ups</w:t>
      </w:r>
      <w:proofErr w:type="spellEnd"/>
      <w:r>
        <w:rPr>
          <w:rFonts w:ascii="Arial Regular" w:hAnsi="Arial Regular" w:cs="Arial Regular"/>
          <w:sz w:val="22"/>
          <w:szCs w:val="22"/>
          <w:lang w:val="en-AU" w:eastAsia="zh-CN"/>
        </w:rPr>
        <w:t>, highlighting each country's contribution. The visuali</w:t>
      </w:r>
      <w:r w:rsidR="009A6F39">
        <w:rPr>
          <w:rFonts w:ascii="Arial Regular" w:hAnsi="Arial Regular" w:cs="Arial Regular"/>
          <w:sz w:val="22"/>
          <w:szCs w:val="22"/>
          <w:lang w:val="en-AU" w:eastAsia="zh-CN"/>
        </w:rPr>
        <w:t>s</w:t>
      </w:r>
      <w:r>
        <w:rPr>
          <w:rFonts w:ascii="Arial Regular" w:hAnsi="Arial Regular" w:cs="Arial Regular"/>
          <w:sz w:val="22"/>
          <w:szCs w:val="22"/>
          <w:lang w:val="en-AU" w:eastAsia="zh-CN"/>
        </w:rPr>
        <w:t>ation uses colo</w:t>
      </w:r>
      <w:r w:rsidR="009A6F39">
        <w:rPr>
          <w:rFonts w:ascii="Arial Regular" w:hAnsi="Arial Regular" w:cs="Arial Regular"/>
          <w:sz w:val="22"/>
          <w:szCs w:val="22"/>
          <w:lang w:val="en-AU" w:eastAsia="zh-CN"/>
        </w:rPr>
        <w:t>u</w:t>
      </w:r>
      <w:r>
        <w:rPr>
          <w:rFonts w:ascii="Arial Regular" w:hAnsi="Arial Regular" w:cs="Arial Regular"/>
          <w:sz w:val="22"/>
          <w:szCs w:val="22"/>
          <w:lang w:val="en-AU" w:eastAsia="zh-CN"/>
        </w:rPr>
        <w:t xml:space="preserve">r intensity to indicate the concentration of champions and </w:t>
      </w:r>
      <w:proofErr w:type="spellStart"/>
      <w:r>
        <w:rPr>
          <w:rFonts w:ascii="Arial Regular" w:hAnsi="Arial Regular" w:cs="Arial Regular"/>
          <w:sz w:val="22"/>
          <w:szCs w:val="22"/>
          <w:lang w:val="en-AU" w:eastAsia="zh-CN"/>
        </w:rPr>
        <w:t>runner-ups</w:t>
      </w:r>
      <w:proofErr w:type="spellEnd"/>
      <w:r>
        <w:rPr>
          <w:rFonts w:ascii="Arial Regular" w:hAnsi="Arial Regular" w:cs="Arial Regular"/>
          <w:sz w:val="22"/>
          <w:szCs w:val="22"/>
          <w:lang w:val="en-AU" w:eastAsia="zh-CN"/>
        </w:rPr>
        <w:t xml:space="preserve"> from various nations, offering a comparative view. Australia </w:t>
      </w:r>
      <w:r w:rsidR="009A6F39">
        <w:rPr>
          <w:rFonts w:ascii="Arial Regular" w:hAnsi="Arial Regular" w:cs="Arial Regular"/>
          <w:sz w:val="22"/>
          <w:szCs w:val="22"/>
          <w:lang w:val="en-AU" w:eastAsia="zh-CN"/>
        </w:rPr>
        <w:t>has</w:t>
      </w:r>
      <w:r>
        <w:rPr>
          <w:rFonts w:ascii="Arial Regular" w:hAnsi="Arial Regular" w:cs="Arial Regular"/>
          <w:sz w:val="22"/>
          <w:szCs w:val="22"/>
          <w:lang w:val="en-AU" w:eastAsia="zh-CN"/>
        </w:rPr>
        <w:t xml:space="preserve"> 94 champions and 98 </w:t>
      </w:r>
      <w:proofErr w:type="spellStart"/>
      <w:r>
        <w:rPr>
          <w:rFonts w:ascii="Arial Regular" w:hAnsi="Arial Regular" w:cs="Arial Regular"/>
          <w:sz w:val="22"/>
          <w:szCs w:val="22"/>
          <w:lang w:val="en-AU" w:eastAsia="zh-CN"/>
        </w:rPr>
        <w:t>runner-ups</w:t>
      </w:r>
      <w:proofErr w:type="spellEnd"/>
      <w:r>
        <w:rPr>
          <w:rFonts w:ascii="Arial Regular" w:hAnsi="Arial Regular" w:cs="Arial Regular"/>
          <w:sz w:val="22"/>
          <w:szCs w:val="22"/>
          <w:lang w:val="en-AU" w:eastAsia="zh-CN"/>
        </w:rPr>
        <w:t xml:space="preserve">, reflecting its dominant tennis ecosystem over 120 years. The United States follows, with 43 champions and 43 </w:t>
      </w:r>
      <w:proofErr w:type="spellStart"/>
      <w:r>
        <w:rPr>
          <w:rFonts w:ascii="Arial Regular" w:hAnsi="Arial Regular" w:cs="Arial Regular"/>
          <w:sz w:val="22"/>
          <w:szCs w:val="22"/>
          <w:lang w:val="en-AU" w:eastAsia="zh-CN"/>
        </w:rPr>
        <w:t>runner-ups</w:t>
      </w:r>
      <w:proofErr w:type="spellEnd"/>
      <w:r>
        <w:rPr>
          <w:rFonts w:ascii="Arial Regular" w:hAnsi="Arial Regular" w:cs="Arial Regular"/>
          <w:sz w:val="22"/>
          <w:szCs w:val="22"/>
          <w:lang w:val="en-AU" w:eastAsia="zh-CN"/>
        </w:rPr>
        <w:t>, indicating its significant contribution. Other countries, including Russia and the United Kingdom, show notable concentrations, underscoring their consistent involvement. This map emphasi</w:t>
      </w:r>
      <w:r w:rsidR="009A6F39">
        <w:rPr>
          <w:rFonts w:ascii="Arial Regular" w:hAnsi="Arial Regular" w:cs="Arial Regular"/>
          <w:sz w:val="22"/>
          <w:szCs w:val="22"/>
          <w:lang w:val="en-AU" w:eastAsia="zh-CN"/>
        </w:rPr>
        <w:t>s</w:t>
      </w:r>
      <w:r>
        <w:rPr>
          <w:rFonts w:ascii="Arial Regular" w:hAnsi="Arial Regular" w:cs="Arial Regular"/>
          <w:sz w:val="22"/>
          <w:szCs w:val="22"/>
          <w:lang w:val="en-AU" w:eastAsia="zh-CN"/>
        </w:rPr>
        <w:t>es the tournament's global reach, with diverse participation from countries such as Japan, China, and Argentina, and highlights established and emerging tennis nations.</w:t>
      </w:r>
    </w:p>
    <w:p w14:paraId="2A8A4249" w14:textId="77777777" w:rsidR="0009242C" w:rsidRDefault="0009242C" w:rsidP="009F7E13">
      <w:pPr>
        <w:jc w:val="both"/>
        <w:rPr>
          <w:rFonts w:ascii="Arial Regular" w:hAnsi="Arial Regular" w:cs="Arial Regular"/>
          <w:sz w:val="22"/>
          <w:szCs w:val="22"/>
          <w:lang w:val="en-AU" w:eastAsia="zh-CN"/>
        </w:rPr>
      </w:pPr>
    </w:p>
    <w:p w14:paraId="151DC2A3" w14:textId="3255C549" w:rsidR="0009242C" w:rsidRDefault="00000000" w:rsidP="009F7E13">
      <w:pPr>
        <w:jc w:val="both"/>
        <w:rPr>
          <w:rFonts w:ascii="Arial Bold" w:hAnsi="Arial Bold" w:cs="Arial Bold"/>
          <w:b/>
          <w:bCs/>
          <w:sz w:val="22"/>
          <w:szCs w:val="22"/>
          <w:lang w:eastAsia="zh-CN"/>
        </w:rPr>
      </w:pPr>
      <w:r>
        <w:rPr>
          <w:rFonts w:ascii="Arial Regular" w:hAnsi="Arial Regular" w:cs="Arial Regular"/>
          <w:sz w:val="22"/>
          <w:szCs w:val="22"/>
          <w:lang w:val="en-AU" w:eastAsia="zh-CN"/>
        </w:rPr>
        <w:t>Geographic visuali</w:t>
      </w:r>
      <w:r w:rsidR="009A6F39">
        <w:rPr>
          <w:rFonts w:ascii="Arial Regular" w:hAnsi="Arial Regular" w:cs="Arial Regular"/>
          <w:sz w:val="22"/>
          <w:szCs w:val="22"/>
          <w:lang w:val="en-AU" w:eastAsia="zh-CN"/>
        </w:rPr>
        <w:t>s</w:t>
      </w:r>
      <w:r>
        <w:rPr>
          <w:rFonts w:ascii="Arial Regular" w:hAnsi="Arial Regular" w:cs="Arial Regular"/>
          <w:sz w:val="22"/>
          <w:szCs w:val="22"/>
          <w:lang w:val="en-AU" w:eastAsia="zh-CN"/>
        </w:rPr>
        <w:t>ations</w:t>
      </w:r>
      <w:r>
        <w:rPr>
          <w:rFonts w:ascii="Arial Regular" w:hAnsi="Arial Regular" w:cs="Arial Regular"/>
          <w:sz w:val="22"/>
          <w:szCs w:val="22"/>
          <w:lang w:eastAsia="zh-CN"/>
        </w:rPr>
        <w:t xml:space="preserve"> </w:t>
      </w:r>
      <w:r>
        <w:rPr>
          <w:rFonts w:ascii="Arial Regular" w:hAnsi="Arial Regular" w:cs="Arial Regular"/>
          <w:sz w:val="22"/>
          <w:szCs w:val="22"/>
          <w:lang w:val="en-AU" w:eastAsia="zh-CN"/>
        </w:rPr>
        <w:t>offer several advantages, including providing a clear and intuitive representation of spatial data</w:t>
      </w:r>
      <w:r w:rsidR="009A6F39">
        <w:rPr>
          <w:rFonts w:ascii="Arial Regular" w:hAnsi="Arial Regular" w:cs="Arial Regular"/>
          <w:sz w:val="22"/>
          <w:szCs w:val="22"/>
          <w:lang w:val="en-AU" w:eastAsia="zh-CN"/>
        </w:rPr>
        <w:t xml:space="preserve"> and</w:t>
      </w:r>
      <w:r>
        <w:rPr>
          <w:rFonts w:ascii="Arial Regular" w:hAnsi="Arial Regular" w:cs="Arial Regular"/>
          <w:sz w:val="22"/>
          <w:szCs w:val="22"/>
          <w:lang w:val="en-AU" w:eastAsia="zh-CN"/>
        </w:rPr>
        <w:t xml:space="preserve"> enabling viewers to </w:t>
      </w:r>
      <w:r w:rsidR="009A6F39">
        <w:rPr>
          <w:rFonts w:ascii="Arial Regular" w:hAnsi="Arial Regular" w:cs="Arial Regular"/>
          <w:sz w:val="22"/>
          <w:szCs w:val="22"/>
          <w:lang w:val="en-AU" w:eastAsia="zh-CN"/>
        </w:rPr>
        <w:t>grasp geographical patterns and distributions quickly</w:t>
      </w:r>
      <w:r>
        <w:rPr>
          <w:rFonts w:ascii="Arial Regular" w:hAnsi="Arial Regular" w:cs="Arial Regular"/>
          <w:sz w:val="22"/>
          <w:szCs w:val="22"/>
          <w:lang w:val="en-AU" w:eastAsia="zh-CN"/>
        </w:rPr>
        <w:t>. For instance, in Figure 1, the geographic distribution visuali</w:t>
      </w:r>
      <w:r w:rsidR="009A6F39">
        <w:rPr>
          <w:rFonts w:ascii="Arial Regular" w:hAnsi="Arial Regular" w:cs="Arial Regular"/>
          <w:sz w:val="22"/>
          <w:szCs w:val="22"/>
          <w:lang w:val="en-AU" w:eastAsia="zh-CN"/>
        </w:rPr>
        <w:t>s</w:t>
      </w:r>
      <w:r>
        <w:rPr>
          <w:rFonts w:ascii="Arial Regular" w:hAnsi="Arial Regular" w:cs="Arial Regular"/>
          <w:sz w:val="22"/>
          <w:szCs w:val="22"/>
          <w:lang w:val="en-AU" w:eastAsia="zh-CN"/>
        </w:rPr>
        <w:t xml:space="preserve">ation of champions and </w:t>
      </w:r>
      <w:proofErr w:type="spellStart"/>
      <w:r>
        <w:rPr>
          <w:rFonts w:ascii="Arial Regular" w:hAnsi="Arial Regular" w:cs="Arial Regular"/>
          <w:sz w:val="22"/>
          <w:szCs w:val="22"/>
          <w:lang w:val="en-AU" w:eastAsia="zh-CN"/>
        </w:rPr>
        <w:t>runner-ups</w:t>
      </w:r>
      <w:proofErr w:type="spellEnd"/>
      <w:r>
        <w:rPr>
          <w:rFonts w:ascii="Arial Regular" w:hAnsi="Arial Regular" w:cs="Arial Regular"/>
          <w:sz w:val="22"/>
          <w:szCs w:val="22"/>
          <w:lang w:val="en-AU" w:eastAsia="zh-CN"/>
        </w:rPr>
        <w:t xml:space="preserve"> in the Australian Open showcases each country's contribution through colo</w:t>
      </w:r>
      <w:r w:rsidR="009A6F39">
        <w:rPr>
          <w:rFonts w:ascii="Arial Regular" w:hAnsi="Arial Regular" w:cs="Arial Regular"/>
          <w:sz w:val="22"/>
          <w:szCs w:val="22"/>
          <w:lang w:val="en-AU" w:eastAsia="zh-CN"/>
        </w:rPr>
        <w:t>u</w:t>
      </w:r>
      <w:r>
        <w:rPr>
          <w:rFonts w:ascii="Arial Regular" w:hAnsi="Arial Regular" w:cs="Arial Regular"/>
          <w:sz w:val="22"/>
          <w:szCs w:val="22"/>
          <w:lang w:val="en-AU" w:eastAsia="zh-CN"/>
        </w:rPr>
        <w:t>r intensity, allowing for easy comparison between nations and emphasi</w:t>
      </w:r>
      <w:r w:rsidR="009A6F39">
        <w:rPr>
          <w:rFonts w:ascii="Arial Regular" w:hAnsi="Arial Regular" w:cs="Arial Regular"/>
          <w:sz w:val="22"/>
          <w:szCs w:val="22"/>
          <w:lang w:val="en-AU" w:eastAsia="zh-CN"/>
        </w:rPr>
        <w:t>s</w:t>
      </w:r>
      <w:r>
        <w:rPr>
          <w:rFonts w:ascii="Arial Regular" w:hAnsi="Arial Regular" w:cs="Arial Regular"/>
          <w:sz w:val="22"/>
          <w:szCs w:val="22"/>
          <w:lang w:val="en-AU" w:eastAsia="zh-CN"/>
        </w:rPr>
        <w:t>ing the tournament's global inclusivity and impact. However, these visuali</w:t>
      </w:r>
      <w:r w:rsidR="009A6F39">
        <w:rPr>
          <w:rFonts w:ascii="Arial Regular" w:hAnsi="Arial Regular" w:cs="Arial Regular"/>
          <w:sz w:val="22"/>
          <w:szCs w:val="22"/>
          <w:lang w:val="en-AU" w:eastAsia="zh-CN"/>
        </w:rPr>
        <w:t>s</w:t>
      </w:r>
      <w:r>
        <w:rPr>
          <w:rFonts w:ascii="Arial Regular" w:hAnsi="Arial Regular" w:cs="Arial Regular"/>
          <w:sz w:val="22"/>
          <w:szCs w:val="22"/>
          <w:lang w:val="en-AU" w:eastAsia="zh-CN"/>
        </w:rPr>
        <w:t>ations may also have limitations, such as potential distortion in map projections and oversimplification of complex spatial relationships.</w:t>
      </w:r>
      <w:r>
        <w:rPr>
          <w:rFonts w:ascii="Arial Regular" w:hAnsi="Arial Regular" w:cs="Arial Regular"/>
          <w:sz w:val="22"/>
          <w:szCs w:val="22"/>
          <w:lang w:eastAsia="zh-CN"/>
        </w:rPr>
        <w:t xml:space="preserve"> The </w:t>
      </w:r>
      <w:r>
        <w:rPr>
          <w:rFonts w:ascii="Arial Regular" w:hAnsi="Arial Regular" w:cs="Arial Regular"/>
          <w:sz w:val="22"/>
          <w:szCs w:val="22"/>
          <w:lang w:val="en-AU" w:eastAsia="zh-CN"/>
        </w:rPr>
        <w:t>reliance solely on colo</w:t>
      </w:r>
      <w:r w:rsidR="009A6F39">
        <w:rPr>
          <w:rFonts w:ascii="Arial Regular" w:hAnsi="Arial Regular" w:cs="Arial Regular"/>
          <w:sz w:val="22"/>
          <w:szCs w:val="22"/>
          <w:lang w:val="en-AU" w:eastAsia="zh-CN"/>
        </w:rPr>
        <w:t>u</w:t>
      </w:r>
      <w:r>
        <w:rPr>
          <w:rFonts w:ascii="Arial Regular" w:hAnsi="Arial Regular" w:cs="Arial Regular"/>
          <w:sz w:val="22"/>
          <w:szCs w:val="22"/>
          <w:lang w:val="en-AU" w:eastAsia="zh-CN"/>
        </w:rPr>
        <w:t>r intensity for interpretation could lead to misinterpretation if not carefully calibrated or explained. Despite these drawbacks, geographic visuali</w:t>
      </w:r>
      <w:r w:rsidR="009A6F39">
        <w:rPr>
          <w:rFonts w:ascii="Arial Regular" w:hAnsi="Arial Regular" w:cs="Arial Regular"/>
          <w:sz w:val="22"/>
          <w:szCs w:val="22"/>
          <w:lang w:val="en-AU" w:eastAsia="zh-CN"/>
        </w:rPr>
        <w:t>s</w:t>
      </w:r>
      <w:r>
        <w:rPr>
          <w:rFonts w:ascii="Arial Regular" w:hAnsi="Arial Regular" w:cs="Arial Regular"/>
          <w:sz w:val="22"/>
          <w:szCs w:val="22"/>
          <w:lang w:val="en-AU" w:eastAsia="zh-CN"/>
        </w:rPr>
        <w:t>ations remain valuable tools for exploring and communicating spatial data.</w:t>
      </w:r>
    </w:p>
    <w:p w14:paraId="31C0B212" w14:textId="77777777" w:rsidR="0009242C" w:rsidRDefault="00000000" w:rsidP="009F7E13">
      <w:pPr>
        <w:jc w:val="both"/>
        <w:rPr>
          <w:rFonts w:ascii="Arial Bold" w:hAnsi="Arial Bold" w:cs="Arial Bold"/>
          <w:b/>
          <w:bCs/>
          <w:sz w:val="22"/>
          <w:szCs w:val="22"/>
          <w:lang w:eastAsia="zh-CN"/>
        </w:rPr>
      </w:pPr>
      <w:r>
        <w:rPr>
          <w:rFonts w:ascii="Arial Bold" w:hAnsi="Arial Bold" w:cs="Arial Bold"/>
          <w:b/>
          <w:bCs/>
          <w:sz w:val="22"/>
          <w:szCs w:val="22"/>
          <w:lang w:eastAsia="zh-CN"/>
        </w:rPr>
        <w:lastRenderedPageBreak/>
        <w:t>Tree Map</w:t>
      </w:r>
    </w:p>
    <w:p w14:paraId="487C219F" w14:textId="77777777" w:rsidR="0009242C" w:rsidRDefault="00000000" w:rsidP="009F7E13">
      <w:pPr>
        <w:jc w:val="both"/>
        <w:rPr>
          <w:rFonts w:ascii="Arial Regular" w:hAnsi="Arial Regular" w:cs="Arial Regular"/>
          <w:sz w:val="22"/>
          <w:szCs w:val="22"/>
        </w:rPr>
      </w:pPr>
      <w:r>
        <w:rPr>
          <w:rFonts w:ascii="Arial Regular" w:hAnsi="Arial Regular" w:cs="Arial Regular"/>
          <w:noProof/>
          <w:sz w:val="22"/>
          <w:szCs w:val="22"/>
        </w:rPr>
        <w:drawing>
          <wp:inline distT="0" distB="0" distL="114300" distR="114300" wp14:anchorId="46A253BE" wp14:editId="5C738480">
            <wp:extent cx="5274310" cy="3632835"/>
            <wp:effectExtent l="0" t="0" r="889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74310" cy="3632835"/>
                    </a:xfrm>
                    <a:prstGeom prst="rect">
                      <a:avLst/>
                    </a:prstGeom>
                    <a:noFill/>
                    <a:ln w="9525">
                      <a:noFill/>
                    </a:ln>
                  </pic:spPr>
                </pic:pic>
              </a:graphicData>
            </a:graphic>
          </wp:inline>
        </w:drawing>
      </w:r>
    </w:p>
    <w:p w14:paraId="5D22BCBB" w14:textId="1F7E4243" w:rsidR="0009242C" w:rsidRDefault="00000000" w:rsidP="009F7E13">
      <w:pPr>
        <w:jc w:val="both"/>
        <w:rPr>
          <w:rFonts w:ascii="Arial Regular" w:hAnsi="Arial Regular" w:cs="Arial Regular"/>
          <w:i/>
          <w:iCs/>
          <w:sz w:val="22"/>
          <w:szCs w:val="22"/>
        </w:rPr>
      </w:pPr>
      <w:r>
        <w:rPr>
          <w:rFonts w:ascii="Arial Regular" w:hAnsi="Arial Regular" w:cs="Arial Regular"/>
          <w:i/>
          <w:iCs/>
          <w:sz w:val="22"/>
          <w:szCs w:val="22"/>
        </w:rPr>
        <w:t xml:space="preserve">Figure 2 </w:t>
      </w:r>
      <w:proofErr w:type="spellStart"/>
      <w:r>
        <w:rPr>
          <w:rFonts w:ascii="Arial Regular" w:hAnsi="Arial Regular" w:cs="Arial Regular"/>
          <w:i/>
          <w:iCs/>
          <w:sz w:val="22"/>
          <w:szCs w:val="22"/>
        </w:rPr>
        <w:t>TreeMap</w:t>
      </w:r>
      <w:proofErr w:type="spellEnd"/>
      <w:r>
        <w:rPr>
          <w:rFonts w:ascii="Arial Regular" w:hAnsi="Arial Regular" w:cs="Arial Regular"/>
          <w:i/>
          <w:iCs/>
          <w:sz w:val="22"/>
          <w:szCs w:val="22"/>
        </w:rPr>
        <w:t xml:space="preserve"> with Count of Champions &amp; Champion Nationality</w:t>
      </w:r>
    </w:p>
    <w:p w14:paraId="18AF4853" w14:textId="77777777" w:rsidR="0009242C" w:rsidRDefault="0009242C" w:rsidP="009F7E13">
      <w:pPr>
        <w:jc w:val="both"/>
        <w:rPr>
          <w:rFonts w:ascii="Arial Regular" w:hAnsi="Arial Regular" w:cs="Arial Regular"/>
          <w:i/>
          <w:iCs/>
          <w:sz w:val="22"/>
          <w:szCs w:val="22"/>
        </w:rPr>
      </w:pPr>
    </w:p>
    <w:p w14:paraId="17764B55" w14:textId="1F318478" w:rsidR="0009242C" w:rsidRDefault="00000000" w:rsidP="009F7E13">
      <w:pPr>
        <w:jc w:val="both"/>
        <w:rPr>
          <w:rFonts w:ascii="Arial Regular" w:hAnsi="Arial Regular" w:cs="Arial Regular"/>
          <w:sz w:val="22"/>
          <w:szCs w:val="22"/>
        </w:rPr>
      </w:pPr>
      <w:r>
        <w:rPr>
          <w:rFonts w:ascii="Arial Regular" w:hAnsi="Arial Regular" w:cs="Arial Regular"/>
          <w:sz w:val="22"/>
          <w:szCs w:val="22"/>
        </w:rPr>
        <w:t xml:space="preserve">The </w:t>
      </w:r>
      <w:proofErr w:type="spellStart"/>
      <w:r>
        <w:rPr>
          <w:rFonts w:ascii="Arial Regular" w:hAnsi="Arial Regular" w:cs="Arial Regular"/>
          <w:sz w:val="22"/>
          <w:szCs w:val="22"/>
        </w:rPr>
        <w:t>treemap</w:t>
      </w:r>
      <w:proofErr w:type="spellEnd"/>
      <w:r>
        <w:rPr>
          <w:rFonts w:ascii="Arial Regular" w:hAnsi="Arial Regular" w:cs="Arial Regular"/>
          <w:sz w:val="22"/>
          <w:szCs w:val="22"/>
        </w:rPr>
        <w:t xml:space="preserve"> provides an effective visual representation of champion nationality and their performance at the Australian Open. It shows that Australian champions dominate</w:t>
      </w:r>
      <w:r w:rsidR="009A6F39">
        <w:rPr>
          <w:rFonts w:ascii="Arial Regular" w:hAnsi="Arial Regular" w:cs="Arial Regular"/>
          <w:sz w:val="22"/>
          <w:szCs w:val="22"/>
        </w:rPr>
        <w:t>d</w:t>
      </w:r>
      <w:r>
        <w:rPr>
          <w:rFonts w:ascii="Arial Regular" w:hAnsi="Arial Regular" w:cs="Arial Regular"/>
          <w:sz w:val="22"/>
          <w:szCs w:val="22"/>
        </w:rPr>
        <w:t xml:space="preserve"> the competition historically, with nearly double the share compared to the USA. This dominance is reflected in players like Margaret Smith and Roy Emerson, who contributed significantly to Australia's success. The map also </w:t>
      </w:r>
      <w:proofErr w:type="spellStart"/>
      <w:r>
        <w:rPr>
          <w:rFonts w:ascii="Arial Regular" w:hAnsi="Arial Regular" w:cs="Arial Regular"/>
          <w:sz w:val="22"/>
          <w:szCs w:val="22"/>
        </w:rPr>
        <w:t>emphasi</w:t>
      </w:r>
      <w:r w:rsidR="009A6F39">
        <w:rPr>
          <w:rFonts w:ascii="Arial Regular" w:hAnsi="Arial Regular" w:cs="Arial Regular"/>
          <w:sz w:val="22"/>
          <w:szCs w:val="22"/>
        </w:rPr>
        <w:t>s</w:t>
      </w:r>
      <w:r>
        <w:rPr>
          <w:rFonts w:ascii="Arial Regular" w:hAnsi="Arial Regular" w:cs="Arial Regular"/>
          <w:sz w:val="22"/>
          <w:szCs w:val="22"/>
        </w:rPr>
        <w:t>es</w:t>
      </w:r>
      <w:proofErr w:type="spellEnd"/>
      <w:r>
        <w:rPr>
          <w:rFonts w:ascii="Arial Regular" w:hAnsi="Arial Regular" w:cs="Arial Regular"/>
          <w:sz w:val="22"/>
          <w:szCs w:val="22"/>
        </w:rPr>
        <w:t xml:space="preserve"> top players by block size, showcasing Novak Djokovic's </w:t>
      </w:r>
      <w:r w:rsidR="009A6F39">
        <w:rPr>
          <w:rFonts w:ascii="Arial Regular" w:hAnsi="Arial Regular" w:cs="Arial Regular"/>
          <w:sz w:val="22"/>
          <w:szCs w:val="22"/>
        </w:rPr>
        <w:t>ten</w:t>
      </w:r>
      <w:r>
        <w:rPr>
          <w:rFonts w:ascii="Arial Regular" w:hAnsi="Arial Regular" w:cs="Arial Regular"/>
          <w:sz w:val="22"/>
          <w:szCs w:val="22"/>
        </w:rPr>
        <w:t xml:space="preserve"> wins, making him the most successful player in the tournament's history. This highlights contributions from players of various nationalities, including Serbia, Switzerland, and the USA. Additionally, the </w:t>
      </w:r>
      <w:proofErr w:type="spellStart"/>
      <w:r>
        <w:rPr>
          <w:rFonts w:ascii="Arial Regular" w:hAnsi="Arial Regular" w:cs="Arial Regular"/>
          <w:sz w:val="22"/>
          <w:szCs w:val="22"/>
        </w:rPr>
        <w:t>treemap</w:t>
      </w:r>
      <w:proofErr w:type="spellEnd"/>
      <w:r>
        <w:rPr>
          <w:rFonts w:ascii="Arial Regular" w:hAnsi="Arial Regular" w:cs="Arial Regular"/>
          <w:sz w:val="22"/>
          <w:szCs w:val="22"/>
        </w:rPr>
        <w:t xml:space="preserve"> shows a balanced distribution between male and female champions, with prominent players such as Serena Williams, Martina Navratilova, and Margaret Smith illustrating the depth of female participation in the Australian Open. Furthermore, the </w:t>
      </w:r>
      <w:proofErr w:type="spellStart"/>
      <w:r>
        <w:rPr>
          <w:rFonts w:ascii="Arial Regular" w:hAnsi="Arial Regular" w:cs="Arial Regular"/>
          <w:sz w:val="22"/>
          <w:szCs w:val="22"/>
        </w:rPr>
        <w:t>tree</w:t>
      </w:r>
      <w:r w:rsidR="009A6F39">
        <w:rPr>
          <w:rFonts w:ascii="Arial Regular" w:hAnsi="Arial Regular" w:cs="Arial Regular"/>
          <w:sz w:val="22"/>
          <w:szCs w:val="22"/>
        </w:rPr>
        <w:t>map</w:t>
      </w:r>
      <w:proofErr w:type="spellEnd"/>
      <w:r w:rsidR="009A6F39">
        <w:rPr>
          <w:rFonts w:ascii="Arial Regular" w:hAnsi="Arial Regular" w:cs="Arial Regular"/>
          <w:sz w:val="22"/>
          <w:szCs w:val="22"/>
        </w:rPr>
        <w:t xml:space="preserve"> demonstrates the international nature of the tournament, with champions from diverse nationalities, such as Britain, Russia, and Switzerland,</w:t>
      </w:r>
      <w:r>
        <w:rPr>
          <w:rFonts w:ascii="Arial Regular" w:hAnsi="Arial Regular" w:cs="Arial Regular"/>
          <w:sz w:val="22"/>
          <w:szCs w:val="22"/>
        </w:rPr>
        <w:t xml:space="preserve"> showcasing the Australian Open's global reach.</w:t>
      </w:r>
    </w:p>
    <w:p w14:paraId="3034B1AE" w14:textId="77777777" w:rsidR="0009242C" w:rsidRDefault="0009242C" w:rsidP="009F7E13">
      <w:pPr>
        <w:jc w:val="both"/>
        <w:rPr>
          <w:rFonts w:ascii="Arial Regular" w:hAnsi="Arial Regular" w:cs="Arial Regular"/>
          <w:sz w:val="22"/>
          <w:szCs w:val="22"/>
        </w:rPr>
      </w:pPr>
    </w:p>
    <w:p w14:paraId="709123B8" w14:textId="59E41CCB" w:rsidR="0009242C" w:rsidRDefault="00000000" w:rsidP="009F7E13">
      <w:pPr>
        <w:jc w:val="both"/>
        <w:rPr>
          <w:rFonts w:ascii="Arial Regular" w:hAnsi="Arial Regular" w:cs="Arial Regular"/>
          <w:sz w:val="22"/>
          <w:szCs w:val="22"/>
        </w:rPr>
      </w:pPr>
      <w:r>
        <w:rPr>
          <w:rFonts w:ascii="Arial Regular" w:hAnsi="Arial Regular" w:cs="Arial Regular"/>
          <w:sz w:val="22"/>
          <w:szCs w:val="22"/>
        </w:rPr>
        <w:lastRenderedPageBreak/>
        <w:t xml:space="preserve">The </w:t>
      </w:r>
      <w:proofErr w:type="spellStart"/>
      <w:r>
        <w:rPr>
          <w:rFonts w:ascii="Arial Regular" w:hAnsi="Arial Regular" w:cs="Arial Regular"/>
          <w:sz w:val="22"/>
          <w:szCs w:val="22"/>
        </w:rPr>
        <w:t>treemap</w:t>
      </w:r>
      <w:proofErr w:type="spellEnd"/>
      <w:r>
        <w:rPr>
          <w:rFonts w:ascii="Arial Regular" w:hAnsi="Arial Regular" w:cs="Arial Regular"/>
          <w:sz w:val="22"/>
          <w:szCs w:val="22"/>
        </w:rPr>
        <w:t xml:space="preserve"> </w:t>
      </w:r>
      <w:proofErr w:type="spellStart"/>
      <w:r>
        <w:rPr>
          <w:rFonts w:ascii="Arial Regular" w:hAnsi="Arial Regular" w:cs="Arial Regular"/>
          <w:sz w:val="22"/>
          <w:szCs w:val="22"/>
        </w:rPr>
        <w:t>visuali</w:t>
      </w:r>
      <w:r w:rsidR="009A6F39">
        <w:rPr>
          <w:rFonts w:ascii="Arial Regular" w:hAnsi="Arial Regular" w:cs="Arial Regular"/>
          <w:sz w:val="22"/>
          <w:szCs w:val="22"/>
        </w:rPr>
        <w:t>s</w:t>
      </w:r>
      <w:r>
        <w:rPr>
          <w:rFonts w:ascii="Arial Regular" w:hAnsi="Arial Regular" w:cs="Arial Regular"/>
          <w:sz w:val="22"/>
          <w:szCs w:val="22"/>
        </w:rPr>
        <w:t>ation</w:t>
      </w:r>
      <w:proofErr w:type="spellEnd"/>
      <w:r>
        <w:rPr>
          <w:rFonts w:ascii="Arial Regular" w:hAnsi="Arial Regular" w:cs="Arial Regular"/>
          <w:sz w:val="22"/>
          <w:szCs w:val="22"/>
        </w:rPr>
        <w:t xml:space="preserve"> technique offers several advantages. Firstly, it provides clarity through its </w:t>
      </w:r>
      <w:proofErr w:type="spellStart"/>
      <w:r>
        <w:rPr>
          <w:rFonts w:ascii="Arial Regular" w:hAnsi="Arial Regular" w:cs="Arial Regular"/>
          <w:sz w:val="22"/>
          <w:szCs w:val="22"/>
        </w:rPr>
        <w:t>colo</w:t>
      </w:r>
      <w:r w:rsidR="009A6F39">
        <w:rPr>
          <w:rFonts w:ascii="Arial Regular" w:hAnsi="Arial Regular" w:cs="Arial Regular"/>
          <w:sz w:val="22"/>
          <w:szCs w:val="22"/>
        </w:rPr>
        <w:t>u</w:t>
      </w:r>
      <w:r>
        <w:rPr>
          <w:rFonts w:ascii="Arial Regular" w:hAnsi="Arial Regular" w:cs="Arial Regular"/>
          <w:sz w:val="22"/>
          <w:szCs w:val="22"/>
        </w:rPr>
        <w:t>r</w:t>
      </w:r>
      <w:proofErr w:type="spellEnd"/>
      <w:r>
        <w:rPr>
          <w:rFonts w:ascii="Arial Regular" w:hAnsi="Arial Regular" w:cs="Arial Regular"/>
          <w:sz w:val="22"/>
          <w:szCs w:val="22"/>
        </w:rPr>
        <w:t xml:space="preserve">-coding and block sizes, making it easy to discern trends in nationality distribution and the number of championships won by each player. Secondly, </w:t>
      </w:r>
      <w:r w:rsidR="009A6F39">
        <w:rPr>
          <w:rFonts w:ascii="Arial Regular" w:hAnsi="Arial Regular" w:cs="Arial Regular"/>
          <w:sz w:val="22"/>
          <w:szCs w:val="22"/>
        </w:rPr>
        <w:t>its comparative view</w:t>
      </w:r>
      <w:r>
        <w:rPr>
          <w:rFonts w:ascii="Arial Regular" w:hAnsi="Arial Regular" w:cs="Arial Regular"/>
          <w:sz w:val="22"/>
          <w:szCs w:val="22"/>
        </w:rPr>
        <w:t xml:space="preserve"> allows users to see the relative contributions of different countries and individual champions. Lastly, the tree map is well-suited to represent categorical data, such as champion nationality, in a visually engaging manner. However, the tree map also has its limitations. One significant drawback is its limited detail. While it offers a high-level view of the data, it may lack finer details, such as individual match statistics or the specifics of each set. Additionally, there's a potential for </w:t>
      </w:r>
      <w:proofErr w:type="spellStart"/>
      <w:r>
        <w:rPr>
          <w:rFonts w:ascii="Arial Regular" w:hAnsi="Arial Regular" w:cs="Arial Regular"/>
          <w:sz w:val="22"/>
          <w:szCs w:val="22"/>
        </w:rPr>
        <w:t>colo</w:t>
      </w:r>
      <w:r w:rsidR="009A6F39">
        <w:rPr>
          <w:rFonts w:ascii="Arial Regular" w:hAnsi="Arial Regular" w:cs="Arial Regular"/>
          <w:sz w:val="22"/>
          <w:szCs w:val="22"/>
        </w:rPr>
        <w:t>ur</w:t>
      </w:r>
      <w:proofErr w:type="spellEnd"/>
      <w:r w:rsidR="009A6F39">
        <w:rPr>
          <w:rFonts w:ascii="Arial Regular" w:hAnsi="Arial Regular" w:cs="Arial Regular"/>
          <w:sz w:val="22"/>
          <w:szCs w:val="22"/>
        </w:rPr>
        <w:t xml:space="preserve"> overlap, mainly when similar </w:t>
      </w:r>
      <w:proofErr w:type="spellStart"/>
      <w:r w:rsidR="009A6F39">
        <w:rPr>
          <w:rFonts w:ascii="Arial Regular" w:hAnsi="Arial Regular" w:cs="Arial Regular"/>
          <w:sz w:val="22"/>
          <w:szCs w:val="22"/>
        </w:rPr>
        <w:t>colou</w:t>
      </w:r>
      <w:r>
        <w:rPr>
          <w:rFonts w:ascii="Arial Regular" w:hAnsi="Arial Regular" w:cs="Arial Regular"/>
          <w:sz w:val="22"/>
          <w:szCs w:val="22"/>
        </w:rPr>
        <w:t>rs</w:t>
      </w:r>
      <w:proofErr w:type="spellEnd"/>
      <w:r>
        <w:rPr>
          <w:rFonts w:ascii="Arial Regular" w:hAnsi="Arial Regular" w:cs="Arial Regular"/>
          <w:sz w:val="22"/>
          <w:szCs w:val="22"/>
        </w:rPr>
        <w:t xml:space="preserve"> are used for different categories. This can lead to confusion, especially with smaller blocks representing less prominent categories.</w:t>
      </w:r>
    </w:p>
    <w:p w14:paraId="0B143CF0" w14:textId="77777777" w:rsidR="0009242C" w:rsidRDefault="0009242C" w:rsidP="009F7E13">
      <w:pPr>
        <w:jc w:val="both"/>
        <w:rPr>
          <w:rFonts w:ascii="Arial Regular" w:hAnsi="Arial Regular" w:cs="Arial Regular"/>
          <w:sz w:val="22"/>
          <w:szCs w:val="22"/>
        </w:rPr>
      </w:pPr>
    </w:p>
    <w:p w14:paraId="227276AA" w14:textId="77777777" w:rsidR="0009242C" w:rsidRDefault="00000000" w:rsidP="009F7E13">
      <w:pPr>
        <w:jc w:val="both"/>
        <w:rPr>
          <w:rFonts w:ascii="Arial Bold" w:hAnsi="Arial Bold" w:cs="Arial Bold"/>
          <w:b/>
          <w:bCs/>
          <w:sz w:val="22"/>
          <w:szCs w:val="22"/>
        </w:rPr>
      </w:pPr>
      <w:r>
        <w:rPr>
          <w:rFonts w:ascii="Arial Bold" w:hAnsi="Arial Bold" w:cs="Arial Bold"/>
          <w:b/>
          <w:bCs/>
          <w:sz w:val="22"/>
          <w:szCs w:val="22"/>
        </w:rPr>
        <w:t>Scatter Plot</w:t>
      </w:r>
    </w:p>
    <w:p w14:paraId="1C3F296F" w14:textId="77777777" w:rsidR="0009242C" w:rsidRDefault="00000000" w:rsidP="009F7E13">
      <w:pPr>
        <w:jc w:val="both"/>
        <w:rPr>
          <w:rFonts w:ascii="Arial Regular" w:hAnsi="Arial Regular" w:cs="Arial Regular"/>
          <w:sz w:val="22"/>
          <w:szCs w:val="22"/>
          <w:lang w:eastAsia="zh-CN"/>
        </w:rPr>
      </w:pPr>
      <w:r>
        <w:rPr>
          <w:rFonts w:ascii="Arial Regular" w:hAnsi="Arial Regular" w:cs="Arial Regular"/>
          <w:noProof/>
          <w:sz w:val="22"/>
          <w:szCs w:val="22"/>
        </w:rPr>
        <w:drawing>
          <wp:inline distT="0" distB="0" distL="114300" distR="114300" wp14:anchorId="56AF1297" wp14:editId="156920DF">
            <wp:extent cx="4402455" cy="3032760"/>
            <wp:effectExtent l="0" t="0" r="17145" b="152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4402455" cy="3032760"/>
                    </a:xfrm>
                    <a:prstGeom prst="rect">
                      <a:avLst/>
                    </a:prstGeom>
                    <a:noFill/>
                    <a:ln w="9525">
                      <a:noFill/>
                    </a:ln>
                  </pic:spPr>
                </pic:pic>
              </a:graphicData>
            </a:graphic>
          </wp:inline>
        </w:drawing>
      </w:r>
    </w:p>
    <w:p w14:paraId="3E253A5A" w14:textId="77777777" w:rsidR="0009242C" w:rsidRDefault="00000000" w:rsidP="009F7E13">
      <w:pPr>
        <w:jc w:val="both"/>
        <w:rPr>
          <w:rFonts w:ascii="Arial Italic" w:hAnsi="Arial Italic" w:cs="Arial Italic"/>
          <w:i/>
          <w:iCs/>
          <w:sz w:val="22"/>
          <w:szCs w:val="22"/>
          <w:lang w:eastAsia="zh-CN"/>
        </w:rPr>
      </w:pPr>
      <w:r>
        <w:rPr>
          <w:rFonts w:ascii="Arial Italic" w:hAnsi="Arial Italic" w:cs="Arial Italic"/>
          <w:i/>
          <w:iCs/>
          <w:sz w:val="22"/>
          <w:szCs w:val="22"/>
          <w:lang w:eastAsia="zh-CN"/>
        </w:rPr>
        <w:t>Figure 3 Scatter Plot on Champion Nationalities</w:t>
      </w:r>
    </w:p>
    <w:p w14:paraId="353C5CEC" w14:textId="77777777" w:rsidR="0009242C" w:rsidRDefault="0009242C" w:rsidP="009F7E13">
      <w:pPr>
        <w:jc w:val="both"/>
        <w:rPr>
          <w:rFonts w:ascii="Arial Italic" w:hAnsi="Arial Italic" w:cs="Arial Italic"/>
          <w:i/>
          <w:iCs/>
          <w:sz w:val="22"/>
          <w:szCs w:val="22"/>
          <w:lang w:eastAsia="zh-CN"/>
        </w:rPr>
      </w:pPr>
    </w:p>
    <w:p w14:paraId="67C5957C" w14:textId="552B910D" w:rsidR="0009242C" w:rsidRDefault="00000000" w:rsidP="009F7E13">
      <w:pPr>
        <w:jc w:val="both"/>
        <w:rPr>
          <w:rFonts w:ascii="Arial Regular" w:hAnsi="Arial Regular" w:cs="Arial Regular"/>
          <w:sz w:val="22"/>
          <w:szCs w:val="22"/>
        </w:rPr>
      </w:pPr>
      <w:r>
        <w:rPr>
          <w:rFonts w:ascii="Arial Regular" w:hAnsi="Arial Regular" w:cs="Arial Regular"/>
          <w:sz w:val="22"/>
          <w:szCs w:val="22"/>
          <w:lang w:eastAsia="zh-CN"/>
        </w:rPr>
        <w:t>Figure 3 presents a scatter plot displaying champion nationalities</w:t>
      </w:r>
      <w:r w:rsidR="009A6F39">
        <w:rPr>
          <w:rFonts w:ascii="Arial Regular" w:hAnsi="Arial Regular" w:cs="Arial Regular"/>
          <w:sz w:val="22"/>
          <w:szCs w:val="22"/>
          <w:lang w:eastAsia="zh-CN"/>
        </w:rPr>
        <w:t xml:space="preserve">, </w:t>
      </w:r>
      <w:proofErr w:type="spellStart"/>
      <w:r w:rsidR="009A6F39">
        <w:rPr>
          <w:rFonts w:ascii="Arial Regular" w:hAnsi="Arial Regular" w:cs="Arial Regular"/>
          <w:sz w:val="22"/>
          <w:szCs w:val="22"/>
          <w:lang w:eastAsia="zh-CN"/>
        </w:rPr>
        <w:t>colour</w:t>
      </w:r>
      <w:proofErr w:type="spellEnd"/>
      <w:r w:rsidR="009A6F39">
        <w:rPr>
          <w:rFonts w:ascii="Arial Regular" w:hAnsi="Arial Regular" w:cs="Arial Regular"/>
          <w:sz w:val="22"/>
          <w:szCs w:val="22"/>
          <w:lang w:eastAsia="zh-CN"/>
        </w:rPr>
        <w:t>-coded by country over time</w:t>
      </w:r>
      <w:r>
        <w:rPr>
          <w:rFonts w:ascii="Arial Regular" w:hAnsi="Arial Regular" w:cs="Arial Regular"/>
          <w:sz w:val="22"/>
          <w:szCs w:val="22"/>
          <w:lang w:eastAsia="zh-CN"/>
        </w:rPr>
        <w:t xml:space="preserve">. The plot shows a growing diversity of champion nationalities over the years. Before 1980, winners predominantly came from Australia, the USA, and European countries, but in recent years, champions from various other nations have emerged, reflecting the global growth of tennis. The plot highlights a shift in regional dominance over time, with Australian champions dominating the early decades while more recent decades have seen champions from countries such as Switzerland, Serbia, and Spain. Additionally, the plot illustrates the introduction of gender representation in 1922, marking a </w:t>
      </w:r>
      <w:r w:rsidR="009A6F39">
        <w:rPr>
          <w:rFonts w:ascii="Arial Regular" w:hAnsi="Arial Regular" w:cs="Arial Regular"/>
          <w:sz w:val="22"/>
          <w:szCs w:val="22"/>
          <w:lang w:eastAsia="zh-CN"/>
        </w:rPr>
        <w:t>fundamental</w:t>
      </w:r>
      <w:r>
        <w:rPr>
          <w:rFonts w:ascii="Arial Regular" w:hAnsi="Arial Regular" w:cs="Arial Regular"/>
          <w:sz w:val="22"/>
          <w:szCs w:val="22"/>
          <w:lang w:eastAsia="zh-CN"/>
        </w:rPr>
        <w:t xml:space="preserve"> shift towards inclusivity.</w:t>
      </w:r>
    </w:p>
    <w:p w14:paraId="2204A864" w14:textId="77777777" w:rsidR="0009242C" w:rsidRDefault="00000000" w:rsidP="009F7E13">
      <w:pPr>
        <w:jc w:val="both"/>
        <w:rPr>
          <w:rFonts w:ascii="Arial Regular" w:hAnsi="Arial Regular" w:cs="Arial Regular"/>
          <w:sz w:val="22"/>
          <w:szCs w:val="22"/>
        </w:rPr>
      </w:pPr>
      <w:r>
        <w:rPr>
          <w:rFonts w:ascii="Arial Regular" w:hAnsi="Arial Regular" w:cs="Arial Regular"/>
          <w:noProof/>
          <w:sz w:val="22"/>
          <w:szCs w:val="22"/>
        </w:rPr>
        <w:lastRenderedPageBreak/>
        <w:drawing>
          <wp:inline distT="0" distB="0" distL="114300" distR="114300" wp14:anchorId="7D1EC1B5" wp14:editId="1FFA2D86">
            <wp:extent cx="5274310" cy="3632835"/>
            <wp:effectExtent l="0" t="0" r="8890" b="2476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5274310" cy="3632835"/>
                    </a:xfrm>
                    <a:prstGeom prst="rect">
                      <a:avLst/>
                    </a:prstGeom>
                    <a:noFill/>
                    <a:ln w="9525">
                      <a:noFill/>
                    </a:ln>
                  </pic:spPr>
                </pic:pic>
              </a:graphicData>
            </a:graphic>
          </wp:inline>
        </w:drawing>
      </w:r>
    </w:p>
    <w:p w14:paraId="27BCBED9" w14:textId="069555DA" w:rsidR="0009242C" w:rsidRDefault="00000000" w:rsidP="009F7E13">
      <w:pPr>
        <w:jc w:val="both"/>
        <w:rPr>
          <w:rFonts w:ascii="Arial Italic" w:hAnsi="Arial Italic" w:cs="Arial Italic"/>
          <w:i/>
          <w:iCs/>
          <w:sz w:val="22"/>
          <w:szCs w:val="22"/>
        </w:rPr>
      </w:pPr>
      <w:r>
        <w:rPr>
          <w:rFonts w:ascii="Arial Italic" w:hAnsi="Arial Italic" w:cs="Arial Italic"/>
          <w:i/>
          <w:iCs/>
          <w:sz w:val="22"/>
          <w:szCs w:val="22"/>
        </w:rPr>
        <w:t>Figure 4 Scatter Plot on Top 5 Champion</w:t>
      </w:r>
      <w:r w:rsidR="009A6F39">
        <w:rPr>
          <w:rFonts w:ascii="Arial Italic" w:hAnsi="Arial Italic" w:cs="Arial Italic"/>
          <w:i/>
          <w:iCs/>
          <w:sz w:val="22"/>
          <w:szCs w:val="22"/>
        </w:rPr>
        <w:t>s</w:t>
      </w:r>
      <w:r>
        <w:rPr>
          <w:rFonts w:ascii="Arial Italic" w:hAnsi="Arial Italic" w:cs="Arial Italic"/>
          <w:i/>
          <w:iCs/>
          <w:sz w:val="22"/>
          <w:szCs w:val="22"/>
        </w:rPr>
        <w:t xml:space="preserve"> Over </w:t>
      </w:r>
      <w:proofErr w:type="gramStart"/>
      <w:r>
        <w:rPr>
          <w:rFonts w:ascii="Arial Italic" w:hAnsi="Arial Italic" w:cs="Arial Italic"/>
          <w:i/>
          <w:iCs/>
          <w:sz w:val="22"/>
          <w:szCs w:val="22"/>
        </w:rPr>
        <w:t>The</w:t>
      </w:r>
      <w:proofErr w:type="gramEnd"/>
      <w:r>
        <w:rPr>
          <w:rFonts w:ascii="Arial Italic" w:hAnsi="Arial Italic" w:cs="Arial Italic"/>
          <w:i/>
          <w:iCs/>
          <w:sz w:val="22"/>
          <w:szCs w:val="22"/>
        </w:rPr>
        <w:t xml:space="preserve"> Years</w:t>
      </w:r>
    </w:p>
    <w:p w14:paraId="0EF25F5B" w14:textId="77777777" w:rsidR="0009242C" w:rsidRDefault="0009242C" w:rsidP="009F7E13">
      <w:pPr>
        <w:jc w:val="both"/>
        <w:rPr>
          <w:rFonts w:ascii="Arial Regular" w:hAnsi="Arial Regular" w:cs="Arial Regular"/>
          <w:sz w:val="22"/>
          <w:szCs w:val="22"/>
        </w:rPr>
      </w:pPr>
    </w:p>
    <w:p w14:paraId="0340D558" w14:textId="2358B2F6" w:rsidR="0009242C" w:rsidRDefault="00000000" w:rsidP="009F7E13">
      <w:pPr>
        <w:jc w:val="both"/>
        <w:rPr>
          <w:rFonts w:ascii="Arial Regular" w:hAnsi="Arial Regular" w:cs="Arial Regular"/>
          <w:sz w:val="22"/>
          <w:szCs w:val="22"/>
        </w:rPr>
      </w:pPr>
      <w:r>
        <w:rPr>
          <w:rFonts w:ascii="Arial Regular" w:hAnsi="Arial Regular" w:cs="Arial Regular"/>
          <w:sz w:val="22"/>
          <w:szCs w:val="22"/>
        </w:rPr>
        <w:lastRenderedPageBreak/>
        <w:t xml:space="preserve">Figure 4 demonstrates the players that have dominated the Australian Open over various years. In the women's tournament, Daphne </w:t>
      </w:r>
      <w:proofErr w:type="spellStart"/>
      <w:r>
        <w:rPr>
          <w:rFonts w:ascii="Arial Regular" w:hAnsi="Arial Regular" w:cs="Arial Regular"/>
          <w:sz w:val="22"/>
          <w:szCs w:val="22"/>
        </w:rPr>
        <w:t>Akhurst</w:t>
      </w:r>
      <w:proofErr w:type="spellEnd"/>
      <w:r>
        <w:rPr>
          <w:rFonts w:ascii="Arial Regular" w:hAnsi="Arial Regular" w:cs="Arial Regular"/>
          <w:sz w:val="22"/>
          <w:szCs w:val="22"/>
        </w:rPr>
        <w:t xml:space="preserve"> dominated from 1925 to 1930, followed by </w:t>
      </w:r>
      <w:proofErr w:type="spellStart"/>
      <w:r>
        <w:rPr>
          <w:rFonts w:ascii="Arial Regular" w:hAnsi="Arial Regular" w:cs="Arial Regular"/>
          <w:sz w:val="22"/>
          <w:szCs w:val="22"/>
        </w:rPr>
        <w:t>Nancye</w:t>
      </w:r>
      <w:proofErr w:type="spellEnd"/>
      <w:r>
        <w:rPr>
          <w:rFonts w:ascii="Arial Regular" w:hAnsi="Arial Regular" w:cs="Arial Regular"/>
          <w:sz w:val="22"/>
          <w:szCs w:val="22"/>
        </w:rPr>
        <w:t xml:space="preserve"> Wynne Bolton from 1937 to 1951. Later, Margaret Smith and Serena Williams made substantial contributions, winning multiple championships. </w:t>
      </w:r>
      <w:r w:rsidR="009A6F39">
        <w:rPr>
          <w:rFonts w:ascii="Arial Regular" w:hAnsi="Arial Regular" w:cs="Arial Regular"/>
          <w:sz w:val="22"/>
          <w:szCs w:val="22"/>
        </w:rPr>
        <w:t>Roy Emerson was a key figure from 1961 to 1967 in the men's tournament</w:t>
      </w:r>
      <w:r>
        <w:rPr>
          <w:rFonts w:ascii="Arial Regular" w:hAnsi="Arial Regular" w:cs="Arial Regular"/>
          <w:sz w:val="22"/>
          <w:szCs w:val="22"/>
        </w:rPr>
        <w:t xml:space="preserve">. More recently, the </w:t>
      </w:r>
      <w:r w:rsidR="009A6F39">
        <w:rPr>
          <w:rFonts w:ascii="Arial Regular" w:hAnsi="Arial Regular" w:cs="Arial Regular"/>
          <w:sz w:val="22"/>
          <w:szCs w:val="22"/>
        </w:rPr>
        <w:t>primary</w:t>
      </w:r>
      <w:r>
        <w:rPr>
          <w:rFonts w:ascii="Arial Regular" w:hAnsi="Arial Regular" w:cs="Arial Regular"/>
          <w:sz w:val="22"/>
          <w:szCs w:val="22"/>
        </w:rPr>
        <w:t xml:space="preserve"> dominants have been Roger Federer from Switzerland and Novak Djokovic from Serbia, particularly from 2007 to 2019.</w:t>
      </w:r>
      <w:r>
        <w:rPr>
          <w:rFonts w:ascii="Arial Regular" w:hAnsi="Arial Regular" w:cs="Arial Regular"/>
          <w:noProof/>
          <w:sz w:val="22"/>
          <w:szCs w:val="22"/>
        </w:rPr>
        <w:drawing>
          <wp:inline distT="0" distB="0" distL="114300" distR="114300" wp14:anchorId="5BB12F64" wp14:editId="3773F4A2">
            <wp:extent cx="5274310" cy="3632835"/>
            <wp:effectExtent l="0" t="0" r="8890" b="2476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2"/>
                    <a:stretch>
                      <a:fillRect/>
                    </a:stretch>
                  </pic:blipFill>
                  <pic:spPr>
                    <a:xfrm>
                      <a:off x="0" y="0"/>
                      <a:ext cx="5274310" cy="3632835"/>
                    </a:xfrm>
                    <a:prstGeom prst="rect">
                      <a:avLst/>
                    </a:prstGeom>
                    <a:noFill/>
                    <a:ln w="9525">
                      <a:noFill/>
                    </a:ln>
                  </pic:spPr>
                </pic:pic>
              </a:graphicData>
            </a:graphic>
          </wp:inline>
        </w:drawing>
      </w:r>
      <w:r>
        <w:rPr>
          <w:rFonts w:ascii="Arial Italic" w:hAnsi="Arial Italic" w:cs="Arial Italic"/>
          <w:i/>
          <w:iCs/>
          <w:sz w:val="22"/>
          <w:szCs w:val="22"/>
        </w:rPr>
        <w:t>Figure 5 Dual Axis Scatter Plot on Champions and Average Win Ratio</w:t>
      </w:r>
      <w:r>
        <w:rPr>
          <w:rFonts w:ascii="Arial Regular" w:hAnsi="Arial Regular" w:cs="Arial Regular"/>
          <w:noProof/>
          <w:sz w:val="22"/>
          <w:szCs w:val="22"/>
        </w:rPr>
        <w:lastRenderedPageBreak/>
        <w:drawing>
          <wp:inline distT="0" distB="0" distL="114300" distR="114300" wp14:anchorId="767CB481" wp14:editId="2925A7E9">
            <wp:extent cx="5274310" cy="3632835"/>
            <wp:effectExtent l="0" t="0" r="8890" b="2476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5274310" cy="3632835"/>
                    </a:xfrm>
                    <a:prstGeom prst="rect">
                      <a:avLst/>
                    </a:prstGeom>
                    <a:noFill/>
                    <a:ln w="9525">
                      <a:noFill/>
                    </a:ln>
                  </pic:spPr>
                </pic:pic>
              </a:graphicData>
            </a:graphic>
          </wp:inline>
        </w:drawing>
      </w:r>
    </w:p>
    <w:p w14:paraId="694535AE" w14:textId="77777777" w:rsidR="0009242C" w:rsidRDefault="00000000" w:rsidP="009F7E13">
      <w:pPr>
        <w:pStyle w:val="NormalWeb"/>
        <w:spacing w:before="0" w:beforeAutospacing="0" w:after="0" w:afterAutospacing="0" w:line="480" w:lineRule="auto"/>
        <w:jc w:val="both"/>
        <w:textAlignment w:val="baseline"/>
        <w:rPr>
          <w:rFonts w:ascii="Arial Italic" w:hAnsi="Arial Italic" w:cs="Arial Italic"/>
          <w:i/>
          <w:iCs/>
          <w:sz w:val="22"/>
          <w:szCs w:val="22"/>
        </w:rPr>
      </w:pPr>
      <w:r>
        <w:rPr>
          <w:rFonts w:ascii="Arial Italic" w:hAnsi="Arial Italic" w:cs="Arial Italic"/>
          <w:i/>
          <w:iCs/>
          <w:sz w:val="22"/>
          <w:szCs w:val="22"/>
        </w:rPr>
        <w:t>Figure 6 Dual Axis Highest Win Ratio</w:t>
      </w:r>
    </w:p>
    <w:p w14:paraId="1F295491" w14:textId="23F1142A" w:rsidR="0009242C" w:rsidRDefault="00000000" w:rsidP="009F7E13">
      <w:pPr>
        <w:pStyle w:val="BodyText"/>
        <w:jc w:val="both"/>
        <w:rPr>
          <w:rFonts w:ascii="Arial Regular" w:hAnsi="Arial Regular" w:cs="Arial Regular"/>
          <w:sz w:val="22"/>
          <w:szCs w:val="22"/>
        </w:rPr>
      </w:pPr>
      <w:r>
        <w:rPr>
          <w:rFonts w:ascii="Arial Regular" w:hAnsi="Arial Regular" w:cs="Arial Regular"/>
          <w:sz w:val="22"/>
          <w:szCs w:val="22"/>
        </w:rPr>
        <w:t xml:space="preserve">Figures 5 and 6 offer a scatter plot showcasing champions, their win ratios, and the number of championships won. The plot highlights Novak Djokovic as the top champion with </w:t>
      </w:r>
      <w:r w:rsidR="009A6F39">
        <w:rPr>
          <w:rFonts w:ascii="Arial Regular" w:hAnsi="Arial Regular" w:cs="Arial Regular"/>
          <w:sz w:val="22"/>
          <w:szCs w:val="22"/>
        </w:rPr>
        <w:t>ten</w:t>
      </w:r>
      <w:r>
        <w:rPr>
          <w:rFonts w:ascii="Arial Regular" w:hAnsi="Arial Regular" w:cs="Arial Regular"/>
          <w:sz w:val="22"/>
          <w:szCs w:val="22"/>
        </w:rPr>
        <w:t xml:space="preserve"> wins and a consistent win ratio of 0.6, illustrating his sustained dominance. It also shows the balance between male and female champions, with top players like Margaret Smith and Serena Williams achieving multiple wins with solid win ratios. Monica Seles </w:t>
      </w:r>
      <w:r w:rsidR="009A6F39">
        <w:rPr>
          <w:rFonts w:ascii="Arial Regular" w:hAnsi="Arial Regular" w:cs="Arial Regular"/>
          <w:sz w:val="22"/>
          <w:szCs w:val="22"/>
        </w:rPr>
        <w:t>has</w:t>
      </w:r>
      <w:r>
        <w:rPr>
          <w:rFonts w:ascii="Arial Regular" w:hAnsi="Arial Regular" w:cs="Arial Regular"/>
          <w:sz w:val="22"/>
          <w:szCs w:val="22"/>
        </w:rPr>
        <w:t xml:space="preserve"> won four championships, three representing Yugoslavia and one representing the USA in 2003, demonstrating her global influence. The scatter plot reveals varying career spans, with champions like Amélie Mauresmo achieving a single win in 2006 with a high win ratio of 0.8889, while others, including Djokovic and Williams, maintained longer, successful careers. The scatter plot also demonstrates the relationship between win ratios and the number of championships, with higher ratios indicating more efficient match performance. </w:t>
      </w:r>
    </w:p>
    <w:p w14:paraId="0F9E0EED" w14:textId="2D84ECC8" w:rsidR="0009242C" w:rsidRDefault="00000000" w:rsidP="009F7E13">
      <w:pPr>
        <w:pStyle w:val="BodyText"/>
        <w:jc w:val="both"/>
        <w:rPr>
          <w:rFonts w:ascii="Arial Regular" w:hAnsi="Arial Regular" w:cs="Arial Regular"/>
          <w:sz w:val="22"/>
          <w:szCs w:val="22"/>
        </w:rPr>
      </w:pPr>
      <w:r>
        <w:rPr>
          <w:rFonts w:ascii="Arial Regular" w:hAnsi="Arial Regular" w:cs="Arial Regular"/>
          <w:sz w:val="22"/>
          <w:szCs w:val="22"/>
        </w:rPr>
        <w:t xml:space="preserve">Scatter plots offer advantages such as </w:t>
      </w:r>
      <w:proofErr w:type="spellStart"/>
      <w:r>
        <w:rPr>
          <w:rFonts w:ascii="Arial Regular" w:hAnsi="Arial Regular" w:cs="Arial Regular"/>
          <w:sz w:val="22"/>
          <w:szCs w:val="22"/>
        </w:rPr>
        <w:t>visuali</w:t>
      </w:r>
      <w:r w:rsidR="009A6F39">
        <w:rPr>
          <w:rFonts w:ascii="Arial Regular" w:hAnsi="Arial Regular" w:cs="Arial Regular"/>
          <w:sz w:val="22"/>
          <w:szCs w:val="22"/>
        </w:rPr>
        <w:t>s</w:t>
      </w:r>
      <w:r>
        <w:rPr>
          <w:rFonts w:ascii="Arial Regular" w:hAnsi="Arial Regular" w:cs="Arial Regular"/>
          <w:sz w:val="22"/>
          <w:szCs w:val="22"/>
        </w:rPr>
        <w:t>ing</w:t>
      </w:r>
      <w:proofErr w:type="spellEnd"/>
      <w:r>
        <w:rPr>
          <w:rFonts w:ascii="Arial Regular" w:hAnsi="Arial Regular" w:cs="Arial Regular"/>
          <w:sz w:val="22"/>
          <w:szCs w:val="22"/>
        </w:rPr>
        <w:t xml:space="preserve"> relationships between two variables, like champion nationality over time or win ratios versus championships </w:t>
      </w:r>
      <w:proofErr w:type="gramStart"/>
      <w:r>
        <w:rPr>
          <w:rFonts w:ascii="Arial Regular" w:hAnsi="Arial Regular" w:cs="Arial Regular"/>
          <w:sz w:val="22"/>
          <w:szCs w:val="22"/>
        </w:rPr>
        <w:t>won, and</w:t>
      </w:r>
      <w:proofErr w:type="gramEnd"/>
      <w:r>
        <w:rPr>
          <w:rFonts w:ascii="Arial Regular" w:hAnsi="Arial Regular" w:cs="Arial Regular"/>
          <w:sz w:val="22"/>
          <w:szCs w:val="22"/>
        </w:rPr>
        <w:t xml:space="preserve"> depicting trends like the emergence of champions from diverse nationalities or dominance in specific periods. However, they may </w:t>
      </w:r>
      <w:r w:rsidR="009A6F39">
        <w:rPr>
          <w:rFonts w:ascii="Arial Regular" w:hAnsi="Arial Regular" w:cs="Arial Regular"/>
          <w:sz w:val="22"/>
          <w:szCs w:val="22"/>
        </w:rPr>
        <w:t>need help</w:t>
      </w:r>
      <w:r>
        <w:rPr>
          <w:rFonts w:ascii="Arial Regular" w:hAnsi="Arial Regular" w:cs="Arial Regular"/>
          <w:sz w:val="22"/>
          <w:szCs w:val="22"/>
        </w:rPr>
        <w:t xml:space="preserve"> with large datasets or dense data clusters, leading to overcrowding and interpretation challenges. Additionally, scatter plots may </w:t>
      </w:r>
      <w:r w:rsidR="009A6F39">
        <w:rPr>
          <w:rFonts w:ascii="Arial Regular" w:hAnsi="Arial Regular" w:cs="Arial Regular"/>
          <w:sz w:val="22"/>
          <w:szCs w:val="22"/>
        </w:rPr>
        <w:t>only partia</w:t>
      </w:r>
      <w:r>
        <w:rPr>
          <w:rFonts w:ascii="Arial Regular" w:hAnsi="Arial Regular" w:cs="Arial Regular"/>
          <w:sz w:val="22"/>
          <w:szCs w:val="22"/>
        </w:rPr>
        <w:t>lly capture complex relationships between multiple variables, potentially limiting comprehensive insights into the data.</w:t>
      </w:r>
    </w:p>
    <w:p w14:paraId="3DAF622E" w14:textId="77777777" w:rsidR="0009242C" w:rsidRDefault="00000000" w:rsidP="009F7E13">
      <w:pPr>
        <w:pStyle w:val="BodyText"/>
        <w:jc w:val="both"/>
        <w:rPr>
          <w:rFonts w:ascii="Arial Bold" w:hAnsi="Arial Bold" w:cs="Arial Bold"/>
          <w:b/>
          <w:bCs/>
          <w:sz w:val="22"/>
          <w:szCs w:val="22"/>
        </w:rPr>
      </w:pPr>
      <w:r>
        <w:rPr>
          <w:rFonts w:ascii="Arial Bold" w:hAnsi="Arial Bold" w:cs="Arial Bold"/>
          <w:b/>
          <w:bCs/>
          <w:sz w:val="22"/>
          <w:szCs w:val="22"/>
        </w:rPr>
        <w:lastRenderedPageBreak/>
        <w:t>Stacked Bar</w:t>
      </w:r>
    </w:p>
    <w:p w14:paraId="0C564E83" w14:textId="77777777" w:rsidR="0009242C" w:rsidRDefault="00000000" w:rsidP="009F7E13">
      <w:pPr>
        <w:pStyle w:val="NormalWeb"/>
        <w:spacing w:before="0" w:beforeAutospacing="0" w:after="0" w:afterAutospacing="0" w:line="480" w:lineRule="auto"/>
        <w:jc w:val="both"/>
        <w:textAlignment w:val="baseline"/>
        <w:rPr>
          <w:rFonts w:ascii="Arial Regular" w:hAnsi="Arial Regular" w:cs="Arial Regular"/>
          <w:sz w:val="22"/>
          <w:szCs w:val="22"/>
        </w:rPr>
      </w:pPr>
      <w:r>
        <w:rPr>
          <w:rFonts w:ascii="Arial Regular" w:hAnsi="Arial Regular" w:cs="Arial Regular"/>
          <w:noProof/>
          <w:sz w:val="22"/>
          <w:szCs w:val="22"/>
        </w:rPr>
        <w:drawing>
          <wp:inline distT="0" distB="0" distL="114300" distR="114300" wp14:anchorId="24A75077" wp14:editId="41C6AF43">
            <wp:extent cx="5274310" cy="3683000"/>
            <wp:effectExtent l="0" t="0" r="889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4"/>
                    <a:stretch>
                      <a:fillRect/>
                    </a:stretch>
                  </pic:blipFill>
                  <pic:spPr>
                    <a:xfrm>
                      <a:off x="0" y="0"/>
                      <a:ext cx="5274310" cy="3683000"/>
                    </a:xfrm>
                    <a:prstGeom prst="rect">
                      <a:avLst/>
                    </a:prstGeom>
                    <a:noFill/>
                    <a:ln w="9525">
                      <a:noFill/>
                    </a:ln>
                  </pic:spPr>
                </pic:pic>
              </a:graphicData>
            </a:graphic>
          </wp:inline>
        </w:drawing>
      </w:r>
    </w:p>
    <w:p w14:paraId="660EBC39" w14:textId="43A2474A" w:rsidR="0009242C" w:rsidRDefault="00000000" w:rsidP="009F7E13">
      <w:pPr>
        <w:jc w:val="both"/>
        <w:rPr>
          <w:rFonts w:ascii="Arial Italic" w:hAnsi="Arial Italic" w:cs="Arial Italic"/>
          <w:i/>
          <w:iCs/>
          <w:sz w:val="22"/>
          <w:szCs w:val="22"/>
          <w:lang w:eastAsia="zh-CN"/>
        </w:rPr>
      </w:pPr>
      <w:r>
        <w:rPr>
          <w:rFonts w:ascii="Arial Italic" w:hAnsi="Arial Italic" w:cs="Arial Italic"/>
          <w:i/>
          <w:iCs/>
          <w:sz w:val="22"/>
          <w:szCs w:val="22"/>
          <w:lang w:eastAsia="zh-CN"/>
        </w:rPr>
        <w:t>Figure 7 Stacked Bar on Top 5 Champion with Runner</w:t>
      </w:r>
      <w:r w:rsidR="009A6F39">
        <w:rPr>
          <w:rFonts w:ascii="Arial Italic" w:hAnsi="Arial Italic" w:cs="Arial Italic"/>
          <w:i/>
          <w:iCs/>
          <w:sz w:val="22"/>
          <w:szCs w:val="22"/>
          <w:lang w:eastAsia="zh-CN"/>
        </w:rPr>
        <w:t>-</w:t>
      </w:r>
      <w:r>
        <w:rPr>
          <w:rFonts w:ascii="Arial Italic" w:hAnsi="Arial Italic" w:cs="Arial Italic"/>
          <w:i/>
          <w:iCs/>
          <w:sz w:val="22"/>
          <w:szCs w:val="22"/>
          <w:lang w:eastAsia="zh-CN"/>
        </w:rPr>
        <w:t xml:space="preserve">Up </w:t>
      </w:r>
    </w:p>
    <w:p w14:paraId="5E57BF3B" w14:textId="77777777" w:rsidR="0009242C" w:rsidRDefault="0009242C" w:rsidP="009F7E13">
      <w:pPr>
        <w:jc w:val="both"/>
        <w:rPr>
          <w:rFonts w:ascii="Arial Italic" w:hAnsi="Arial Italic" w:cs="Arial Italic"/>
          <w:i/>
          <w:iCs/>
          <w:sz w:val="22"/>
          <w:szCs w:val="22"/>
          <w:lang w:eastAsia="zh-CN"/>
        </w:rPr>
      </w:pPr>
    </w:p>
    <w:p w14:paraId="6750232E" w14:textId="62B9D518" w:rsidR="0009242C" w:rsidRDefault="00000000" w:rsidP="009F7E13">
      <w:pPr>
        <w:jc w:val="both"/>
        <w:rPr>
          <w:rFonts w:ascii="Arial Regular" w:hAnsi="Arial Regular" w:cs="Arial Regular"/>
          <w:sz w:val="22"/>
          <w:szCs w:val="22"/>
          <w:lang w:eastAsia="zh-CN"/>
        </w:rPr>
      </w:pPr>
      <w:r>
        <w:rPr>
          <w:rFonts w:ascii="Arial Regular" w:hAnsi="Arial Regular" w:cs="Arial Regular"/>
          <w:sz w:val="22"/>
          <w:szCs w:val="22"/>
          <w:lang w:eastAsia="zh-CN"/>
        </w:rPr>
        <w:t xml:space="preserve">Figure 7 provides insights into the champions and their runner-up counterparts, showing several key trends. The stacked bar chart highlights Andy Murray, Rafael Nadal, Roger Federer, and Novak Djokovic as dominant figures in recent years. Djokovic and Federer have consistently won multiple championships, although they haven't faced each other in a final. The chart also demonstrates the competitive nature of these matches, with some </w:t>
      </w:r>
      <w:proofErr w:type="spellStart"/>
      <w:r>
        <w:rPr>
          <w:rFonts w:ascii="Arial Regular" w:hAnsi="Arial Regular" w:cs="Arial Regular"/>
          <w:sz w:val="22"/>
          <w:szCs w:val="22"/>
          <w:lang w:eastAsia="zh-CN"/>
        </w:rPr>
        <w:t>runner-ups</w:t>
      </w:r>
      <w:proofErr w:type="spellEnd"/>
      <w:r>
        <w:rPr>
          <w:rFonts w:ascii="Arial Regular" w:hAnsi="Arial Regular" w:cs="Arial Regular"/>
          <w:sz w:val="22"/>
          <w:szCs w:val="22"/>
          <w:lang w:eastAsia="zh-CN"/>
        </w:rPr>
        <w:t xml:space="preserve"> having substantial win rates despite not securing a championship. This highlights the consistency of top champions like Djokovic, Federer, Roy Emerson, and Serena Williams, reflecting their sustained success. The chart also illustrates a balanced distribution between male and female </w:t>
      </w:r>
      <w:r w:rsidR="009A6F39">
        <w:rPr>
          <w:rFonts w:ascii="Arial Regular" w:hAnsi="Arial Regular" w:cs="Arial Regular"/>
          <w:sz w:val="22"/>
          <w:szCs w:val="22"/>
          <w:lang w:eastAsia="zh-CN"/>
        </w:rPr>
        <w:t>winner</w:t>
      </w:r>
      <w:r>
        <w:rPr>
          <w:rFonts w:ascii="Arial Regular" w:hAnsi="Arial Regular" w:cs="Arial Regular"/>
          <w:sz w:val="22"/>
          <w:szCs w:val="22"/>
          <w:lang w:eastAsia="zh-CN"/>
        </w:rPr>
        <w:t>s and runners-up, demonstrating increased opportunities for both genders in tennis.</w:t>
      </w:r>
    </w:p>
    <w:p w14:paraId="0862995F" w14:textId="77777777" w:rsidR="0009242C" w:rsidRDefault="00000000" w:rsidP="009F7E13">
      <w:pPr>
        <w:jc w:val="both"/>
        <w:rPr>
          <w:rFonts w:ascii="Arial Regular" w:hAnsi="Arial Regular" w:cs="Arial Regular"/>
          <w:sz w:val="22"/>
          <w:szCs w:val="22"/>
        </w:rPr>
      </w:pPr>
      <w:r>
        <w:rPr>
          <w:rFonts w:ascii="Arial Bold" w:hAnsi="Arial Bold" w:cs="Arial Bold"/>
          <w:b/>
          <w:bCs/>
          <w:sz w:val="22"/>
          <w:szCs w:val="22"/>
        </w:rPr>
        <w:lastRenderedPageBreak/>
        <w:t>Word Cloud</w:t>
      </w:r>
      <w:r>
        <w:rPr>
          <w:rFonts w:ascii="Arial Regular" w:hAnsi="Arial Regular" w:cs="Arial Regular"/>
          <w:noProof/>
          <w:sz w:val="22"/>
          <w:szCs w:val="22"/>
        </w:rPr>
        <w:drawing>
          <wp:inline distT="0" distB="0" distL="114300" distR="114300" wp14:anchorId="7E3E627F" wp14:editId="3A559514">
            <wp:extent cx="5274310" cy="2857500"/>
            <wp:effectExtent l="0" t="0" r="889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5274310" cy="2857500"/>
                    </a:xfrm>
                    <a:prstGeom prst="rect">
                      <a:avLst/>
                    </a:prstGeom>
                    <a:noFill/>
                    <a:ln w="9525">
                      <a:noFill/>
                    </a:ln>
                  </pic:spPr>
                </pic:pic>
              </a:graphicData>
            </a:graphic>
          </wp:inline>
        </w:drawing>
      </w:r>
    </w:p>
    <w:p w14:paraId="49A27614" w14:textId="38955D5D" w:rsidR="0009242C" w:rsidRDefault="00000000" w:rsidP="009F7E13">
      <w:pPr>
        <w:jc w:val="both"/>
        <w:rPr>
          <w:rFonts w:ascii="Arial Italic" w:hAnsi="Arial Italic" w:cs="Arial Italic"/>
          <w:i/>
          <w:iCs/>
          <w:sz w:val="22"/>
          <w:szCs w:val="22"/>
        </w:rPr>
      </w:pPr>
      <w:r>
        <w:rPr>
          <w:rFonts w:ascii="Arial Italic" w:hAnsi="Arial Italic" w:cs="Arial Italic"/>
          <w:i/>
          <w:iCs/>
          <w:sz w:val="22"/>
          <w:szCs w:val="22"/>
        </w:rPr>
        <w:t>Figure 8 Top 5 Runner</w:t>
      </w:r>
      <w:r w:rsidR="009A6F39">
        <w:rPr>
          <w:rFonts w:ascii="Arial Italic" w:hAnsi="Arial Italic" w:cs="Arial Italic"/>
          <w:i/>
          <w:iCs/>
          <w:sz w:val="22"/>
          <w:szCs w:val="22"/>
        </w:rPr>
        <w:t>-</w:t>
      </w:r>
      <w:r>
        <w:rPr>
          <w:rFonts w:ascii="Arial Italic" w:hAnsi="Arial Italic" w:cs="Arial Italic"/>
          <w:i/>
          <w:iCs/>
          <w:sz w:val="22"/>
          <w:szCs w:val="22"/>
        </w:rPr>
        <w:t>Up Wo</w:t>
      </w:r>
      <w:r w:rsidR="009A6F39">
        <w:rPr>
          <w:rFonts w:ascii="Arial Italic" w:hAnsi="Arial Italic" w:cs="Arial Italic"/>
          <w:i/>
          <w:iCs/>
          <w:sz w:val="22"/>
          <w:szCs w:val="22"/>
        </w:rPr>
        <w:t>r</w:t>
      </w:r>
      <w:r>
        <w:rPr>
          <w:rFonts w:ascii="Arial Italic" w:hAnsi="Arial Italic" w:cs="Arial Italic"/>
          <w:i/>
          <w:iCs/>
          <w:sz w:val="22"/>
          <w:szCs w:val="22"/>
        </w:rPr>
        <w:t xml:space="preserve">ld Cloud </w:t>
      </w:r>
    </w:p>
    <w:p w14:paraId="7898A951" w14:textId="77777777" w:rsidR="0009242C" w:rsidRDefault="0009242C" w:rsidP="009F7E13">
      <w:pPr>
        <w:jc w:val="both"/>
        <w:rPr>
          <w:rFonts w:ascii="Arial Italic" w:hAnsi="Arial Italic" w:cs="Arial Italic"/>
          <w:i/>
          <w:iCs/>
          <w:sz w:val="22"/>
          <w:szCs w:val="22"/>
        </w:rPr>
      </w:pPr>
    </w:p>
    <w:p w14:paraId="13A47048" w14:textId="4B71F357" w:rsidR="0009242C" w:rsidRDefault="00000000" w:rsidP="009F7E13">
      <w:pPr>
        <w:jc w:val="both"/>
        <w:rPr>
          <w:rFonts w:ascii="Arial Regular" w:hAnsi="Arial Regular" w:cs="Arial Regular"/>
          <w:sz w:val="22"/>
          <w:szCs w:val="22"/>
        </w:rPr>
      </w:pPr>
      <w:r>
        <w:rPr>
          <w:rFonts w:ascii="Arial Regular" w:hAnsi="Arial Regular" w:cs="Arial Regular"/>
          <w:sz w:val="22"/>
          <w:szCs w:val="22"/>
        </w:rPr>
        <w:t xml:space="preserve">Figure 8 </w:t>
      </w:r>
      <w:proofErr w:type="spellStart"/>
      <w:r>
        <w:rPr>
          <w:rFonts w:ascii="Arial Regular" w:hAnsi="Arial Regular" w:cs="Arial Regular"/>
          <w:sz w:val="22"/>
          <w:szCs w:val="22"/>
        </w:rPr>
        <w:t>visuali</w:t>
      </w:r>
      <w:r w:rsidR="009A6F39">
        <w:rPr>
          <w:rFonts w:ascii="Arial Regular" w:hAnsi="Arial Regular" w:cs="Arial Regular"/>
          <w:sz w:val="22"/>
          <w:szCs w:val="22"/>
        </w:rPr>
        <w:t>s</w:t>
      </w:r>
      <w:r>
        <w:rPr>
          <w:rFonts w:ascii="Arial Regular" w:hAnsi="Arial Regular" w:cs="Arial Regular"/>
          <w:sz w:val="22"/>
          <w:szCs w:val="22"/>
        </w:rPr>
        <w:t>es</w:t>
      </w:r>
      <w:proofErr w:type="spellEnd"/>
      <w:r>
        <w:rPr>
          <w:rFonts w:ascii="Arial Regular" w:hAnsi="Arial Regular" w:cs="Arial Regular"/>
          <w:sz w:val="22"/>
          <w:szCs w:val="22"/>
        </w:rPr>
        <w:t xml:space="preserve"> the names of the top 5 runners-up, </w:t>
      </w:r>
      <w:proofErr w:type="spellStart"/>
      <w:r>
        <w:rPr>
          <w:rFonts w:ascii="Arial Regular" w:hAnsi="Arial Regular" w:cs="Arial Regular"/>
          <w:sz w:val="22"/>
          <w:szCs w:val="22"/>
        </w:rPr>
        <w:t>emphasi</w:t>
      </w:r>
      <w:r w:rsidR="009A6F39">
        <w:rPr>
          <w:rFonts w:ascii="Arial Regular" w:hAnsi="Arial Regular" w:cs="Arial Regular"/>
          <w:sz w:val="22"/>
          <w:szCs w:val="22"/>
        </w:rPr>
        <w:t>s</w:t>
      </w:r>
      <w:r>
        <w:rPr>
          <w:rFonts w:ascii="Arial Regular" w:hAnsi="Arial Regular" w:cs="Arial Regular"/>
          <w:sz w:val="22"/>
          <w:szCs w:val="22"/>
        </w:rPr>
        <w:t>ing</w:t>
      </w:r>
      <w:proofErr w:type="spellEnd"/>
      <w:r>
        <w:rPr>
          <w:rFonts w:ascii="Arial Regular" w:hAnsi="Arial Regular" w:cs="Arial Regular"/>
          <w:sz w:val="22"/>
          <w:szCs w:val="22"/>
        </w:rPr>
        <w:t xml:space="preserve"> their prominence in the tournament. The </w:t>
      </w:r>
      <w:r w:rsidR="009A6F39">
        <w:rPr>
          <w:rFonts w:ascii="Arial Regular" w:hAnsi="Arial Regular" w:cs="Arial Regular"/>
          <w:sz w:val="22"/>
          <w:szCs w:val="22"/>
        </w:rPr>
        <w:t>most prominen</w:t>
      </w:r>
      <w:r>
        <w:rPr>
          <w:rFonts w:ascii="Arial Regular" w:hAnsi="Arial Regular" w:cs="Arial Regular"/>
          <w:sz w:val="22"/>
          <w:szCs w:val="22"/>
        </w:rPr>
        <w:t xml:space="preserve">t name, Andy Murray, from the UK, has </w:t>
      </w:r>
      <w:r w:rsidR="009A6F39">
        <w:rPr>
          <w:rFonts w:ascii="Arial Regular" w:hAnsi="Arial Regular" w:cs="Arial Regular"/>
          <w:sz w:val="22"/>
          <w:szCs w:val="22"/>
        </w:rPr>
        <w:t>five</w:t>
      </w:r>
      <w:r>
        <w:rPr>
          <w:rFonts w:ascii="Arial Regular" w:hAnsi="Arial Regular" w:cs="Arial Regular"/>
          <w:sz w:val="22"/>
          <w:szCs w:val="22"/>
        </w:rPr>
        <w:t xml:space="preserve"> runner-up finishes from 2010 to 2016, reflecting his competitive presence despite not securing a championship win. Rafael Nadal is also highlighted with </w:t>
      </w:r>
      <w:r w:rsidR="009A6F39">
        <w:rPr>
          <w:rFonts w:ascii="Arial Regular" w:hAnsi="Arial Regular" w:cs="Arial Regular"/>
          <w:sz w:val="22"/>
          <w:szCs w:val="22"/>
        </w:rPr>
        <w:t>three</w:t>
      </w:r>
      <w:r>
        <w:rPr>
          <w:rFonts w:ascii="Arial Regular" w:hAnsi="Arial Regular" w:cs="Arial Regular"/>
          <w:sz w:val="22"/>
          <w:szCs w:val="22"/>
        </w:rPr>
        <w:t xml:space="preserve"> runner-up finishes and </w:t>
      </w:r>
      <w:r w:rsidR="009A6F39">
        <w:rPr>
          <w:rFonts w:ascii="Arial Regular" w:hAnsi="Arial Regular" w:cs="Arial Regular"/>
          <w:sz w:val="22"/>
          <w:szCs w:val="22"/>
        </w:rPr>
        <w:t>two</w:t>
      </w:r>
      <w:r>
        <w:rPr>
          <w:rFonts w:ascii="Arial Regular" w:hAnsi="Arial Regular" w:cs="Arial Regular"/>
          <w:sz w:val="22"/>
          <w:szCs w:val="22"/>
        </w:rPr>
        <w:t xml:space="preserve"> championships in 2009 and 2022, demonstrating his ability to compete at a high level over a long period. The word cloud also includes names like Dominic </w:t>
      </w:r>
      <w:proofErr w:type="spellStart"/>
      <w:r>
        <w:rPr>
          <w:rFonts w:ascii="Arial Regular" w:hAnsi="Arial Regular" w:cs="Arial Regular"/>
          <w:sz w:val="22"/>
          <w:szCs w:val="22"/>
        </w:rPr>
        <w:t>Thiem</w:t>
      </w:r>
      <w:proofErr w:type="spellEnd"/>
      <w:r>
        <w:rPr>
          <w:rFonts w:ascii="Arial Regular" w:hAnsi="Arial Regular" w:cs="Arial Regular"/>
          <w:sz w:val="22"/>
          <w:szCs w:val="22"/>
        </w:rPr>
        <w:t>, Venus Williams, and Roger Federer, highlighting the competitive nature of the tournament and the range of players reaching the finals. Furthermore, it reflects the global nature of tennis, showcasing runners-up from various nationalities.</w:t>
      </w:r>
    </w:p>
    <w:p w14:paraId="26742431" w14:textId="77777777" w:rsidR="0009242C" w:rsidRDefault="0009242C" w:rsidP="009F7E13">
      <w:pPr>
        <w:jc w:val="both"/>
        <w:rPr>
          <w:rFonts w:ascii="Arial Regular" w:hAnsi="Arial Regular" w:cs="Arial Regular"/>
          <w:sz w:val="22"/>
          <w:szCs w:val="22"/>
        </w:rPr>
      </w:pPr>
    </w:p>
    <w:p w14:paraId="509D41D1" w14:textId="34F71329" w:rsidR="0009242C" w:rsidRDefault="00000000" w:rsidP="009F7E13">
      <w:pPr>
        <w:jc w:val="both"/>
        <w:rPr>
          <w:rFonts w:ascii="Arial Regular" w:hAnsi="Arial Regular" w:cs="Arial Regular"/>
          <w:sz w:val="22"/>
          <w:szCs w:val="22"/>
        </w:rPr>
      </w:pPr>
      <w:r>
        <w:rPr>
          <w:rFonts w:ascii="Arial Regular" w:hAnsi="Arial Regular" w:cs="Arial Regular"/>
          <w:sz w:val="22"/>
          <w:szCs w:val="22"/>
        </w:rPr>
        <w:t xml:space="preserve">Word clouds offer a visually appealing way to highlight key terms or names based on their frequency or significance, enabling quick comprehension of essential information. However, they may </w:t>
      </w:r>
      <w:r w:rsidR="009A6F39">
        <w:rPr>
          <w:rFonts w:ascii="Arial Regular" w:hAnsi="Arial Regular" w:cs="Arial Regular"/>
          <w:sz w:val="22"/>
          <w:szCs w:val="22"/>
        </w:rPr>
        <w:t>need more</w:t>
      </w:r>
      <w:r>
        <w:rPr>
          <w:rFonts w:ascii="Arial Regular" w:hAnsi="Arial Regular" w:cs="Arial Regular"/>
          <w:sz w:val="22"/>
          <w:szCs w:val="22"/>
        </w:rPr>
        <w:t xml:space="preserve"> detailed context, potentially leading to oversimplification or misinterpret</w:t>
      </w:r>
      <w:r w:rsidR="009A6F39">
        <w:rPr>
          <w:rFonts w:ascii="Arial Regular" w:hAnsi="Arial Regular" w:cs="Arial Regular"/>
          <w:sz w:val="22"/>
          <w:szCs w:val="22"/>
        </w:rPr>
        <w:t>ing</w:t>
      </w:r>
      <w:r>
        <w:rPr>
          <w:rFonts w:ascii="Arial Regular" w:hAnsi="Arial Regular" w:cs="Arial Regular"/>
          <w:sz w:val="22"/>
          <w:szCs w:val="22"/>
        </w:rPr>
        <w:t xml:space="preserve"> data relationships. Moreover, </w:t>
      </w:r>
      <w:r w:rsidR="009A6F39">
        <w:rPr>
          <w:rFonts w:ascii="Arial Regular" w:hAnsi="Arial Regular" w:cs="Arial Regular"/>
          <w:sz w:val="22"/>
          <w:szCs w:val="22"/>
        </w:rPr>
        <w:t xml:space="preserve">subjective factors like font size and </w:t>
      </w:r>
      <w:proofErr w:type="spellStart"/>
      <w:r w:rsidR="009A6F39">
        <w:rPr>
          <w:rFonts w:ascii="Arial Regular" w:hAnsi="Arial Regular" w:cs="Arial Regular"/>
          <w:sz w:val="22"/>
          <w:szCs w:val="22"/>
        </w:rPr>
        <w:t>colou</w:t>
      </w:r>
      <w:r>
        <w:rPr>
          <w:rFonts w:ascii="Arial Regular" w:hAnsi="Arial Regular" w:cs="Arial Regular"/>
          <w:sz w:val="22"/>
          <w:szCs w:val="22"/>
        </w:rPr>
        <w:t>r</w:t>
      </w:r>
      <w:proofErr w:type="spellEnd"/>
      <w:r>
        <w:rPr>
          <w:rFonts w:ascii="Arial Regular" w:hAnsi="Arial Regular" w:cs="Arial Regular"/>
          <w:sz w:val="22"/>
          <w:szCs w:val="22"/>
        </w:rPr>
        <w:t xml:space="preserve"> choice can influence viewer perception.</w:t>
      </w:r>
    </w:p>
    <w:p w14:paraId="3BF2DCD9" w14:textId="77777777" w:rsidR="0009242C" w:rsidRDefault="0009242C" w:rsidP="009F7E13">
      <w:pPr>
        <w:jc w:val="both"/>
        <w:rPr>
          <w:rFonts w:ascii="Arial Regular" w:hAnsi="Arial Regular" w:cs="Arial Regular"/>
          <w:sz w:val="22"/>
          <w:szCs w:val="22"/>
        </w:rPr>
      </w:pPr>
    </w:p>
    <w:p w14:paraId="6F0F3637" w14:textId="77777777" w:rsidR="0009242C" w:rsidRDefault="0009242C" w:rsidP="009F7E13">
      <w:pPr>
        <w:jc w:val="both"/>
        <w:rPr>
          <w:rFonts w:ascii="Arial Regular" w:hAnsi="Arial Regular" w:cs="Arial Regular"/>
          <w:sz w:val="22"/>
          <w:szCs w:val="22"/>
        </w:rPr>
      </w:pPr>
    </w:p>
    <w:p w14:paraId="359FBD77" w14:textId="77777777" w:rsidR="0009242C" w:rsidRDefault="0009242C" w:rsidP="009F7E13">
      <w:pPr>
        <w:jc w:val="both"/>
        <w:rPr>
          <w:rFonts w:ascii="Arial Regular" w:hAnsi="Arial Regular" w:cs="Arial Regular"/>
          <w:sz w:val="22"/>
          <w:szCs w:val="22"/>
        </w:rPr>
      </w:pPr>
    </w:p>
    <w:p w14:paraId="4C343DD8" w14:textId="77777777" w:rsidR="0009242C" w:rsidRDefault="00000000" w:rsidP="009F7E13">
      <w:pPr>
        <w:pStyle w:val="Heading2"/>
        <w:jc w:val="both"/>
        <w:rPr>
          <w:rFonts w:ascii="Arial Bold" w:hAnsi="Arial Bold" w:cs="Arial Bold"/>
          <w:b/>
          <w:bCs/>
          <w:sz w:val="22"/>
          <w:szCs w:val="22"/>
        </w:rPr>
      </w:pPr>
      <w:r>
        <w:rPr>
          <w:rFonts w:ascii="Arial Bold" w:hAnsi="Arial Bold" w:cs="Arial Bold"/>
          <w:b/>
          <w:bCs/>
          <w:sz w:val="22"/>
          <w:szCs w:val="22"/>
        </w:rPr>
        <w:lastRenderedPageBreak/>
        <w:t xml:space="preserve">Parallel Coordinates </w:t>
      </w:r>
    </w:p>
    <w:p w14:paraId="0B35697A" w14:textId="77777777" w:rsidR="0009242C" w:rsidRDefault="00000000" w:rsidP="009F7E13">
      <w:pPr>
        <w:jc w:val="both"/>
        <w:rPr>
          <w:rFonts w:ascii="Arial Regular" w:hAnsi="Arial Regular" w:cs="Arial Regular"/>
          <w:sz w:val="22"/>
          <w:szCs w:val="22"/>
          <w:lang w:eastAsia="zh-CN"/>
        </w:rPr>
      </w:pPr>
      <w:r>
        <w:rPr>
          <w:rFonts w:ascii="Arial Regular" w:hAnsi="Arial Regular" w:cs="Arial Regular"/>
          <w:noProof/>
          <w:sz w:val="22"/>
          <w:szCs w:val="22"/>
        </w:rPr>
        <w:drawing>
          <wp:inline distT="0" distB="0" distL="114300" distR="114300" wp14:anchorId="0044EC2C" wp14:editId="6F250788">
            <wp:extent cx="5274310" cy="3683000"/>
            <wp:effectExtent l="0" t="0" r="889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6"/>
                    <a:stretch>
                      <a:fillRect/>
                    </a:stretch>
                  </pic:blipFill>
                  <pic:spPr>
                    <a:xfrm>
                      <a:off x="0" y="0"/>
                      <a:ext cx="5274310" cy="3683000"/>
                    </a:xfrm>
                    <a:prstGeom prst="rect">
                      <a:avLst/>
                    </a:prstGeom>
                    <a:noFill/>
                    <a:ln w="9525">
                      <a:noFill/>
                    </a:ln>
                  </pic:spPr>
                </pic:pic>
              </a:graphicData>
            </a:graphic>
          </wp:inline>
        </w:drawing>
      </w:r>
    </w:p>
    <w:p w14:paraId="1B1C3747" w14:textId="6D44206D" w:rsidR="0009242C" w:rsidRDefault="00000000" w:rsidP="009F7E13">
      <w:pPr>
        <w:jc w:val="both"/>
        <w:rPr>
          <w:rFonts w:ascii="Arial Italic" w:hAnsi="Arial Italic" w:cs="Arial Italic"/>
          <w:i/>
          <w:iCs/>
          <w:sz w:val="22"/>
          <w:szCs w:val="22"/>
        </w:rPr>
      </w:pPr>
      <w:r>
        <w:rPr>
          <w:rFonts w:ascii="Arial Italic" w:hAnsi="Arial Italic" w:cs="Arial Italic"/>
          <w:i/>
          <w:iCs/>
          <w:sz w:val="22"/>
          <w:szCs w:val="22"/>
        </w:rPr>
        <w:t>Figure 9 Paralle</w:t>
      </w:r>
      <w:r w:rsidR="009A6F39">
        <w:rPr>
          <w:rFonts w:ascii="Arial Italic" w:hAnsi="Arial Italic" w:cs="Arial Italic"/>
          <w:i/>
          <w:iCs/>
          <w:sz w:val="22"/>
          <w:szCs w:val="22"/>
        </w:rPr>
        <w:t>l</w:t>
      </w:r>
      <w:r>
        <w:rPr>
          <w:rFonts w:ascii="Arial Italic" w:hAnsi="Arial Italic" w:cs="Arial Italic"/>
          <w:i/>
          <w:iCs/>
          <w:sz w:val="22"/>
          <w:szCs w:val="22"/>
        </w:rPr>
        <w:t xml:space="preserve"> Co</w:t>
      </w:r>
      <w:r w:rsidR="009A6F39">
        <w:rPr>
          <w:rFonts w:ascii="Arial Italic" w:hAnsi="Arial Italic" w:cs="Arial Italic"/>
          <w:i/>
          <w:iCs/>
          <w:sz w:val="22"/>
          <w:szCs w:val="22"/>
        </w:rPr>
        <w:t>o</w:t>
      </w:r>
      <w:r>
        <w:rPr>
          <w:rFonts w:ascii="Arial Italic" w:hAnsi="Arial Italic" w:cs="Arial Italic"/>
          <w:i/>
          <w:iCs/>
          <w:sz w:val="22"/>
          <w:szCs w:val="22"/>
        </w:rPr>
        <w:t>rdinates on Set Win and Loss</w:t>
      </w:r>
    </w:p>
    <w:p w14:paraId="24815CFC" w14:textId="77777777" w:rsidR="0009242C" w:rsidRDefault="0009242C" w:rsidP="009F7E13">
      <w:pPr>
        <w:jc w:val="both"/>
        <w:rPr>
          <w:rFonts w:ascii="Arial Italic" w:hAnsi="Arial Italic" w:cs="Arial Italic"/>
          <w:i/>
          <w:iCs/>
          <w:sz w:val="22"/>
          <w:szCs w:val="22"/>
        </w:rPr>
      </w:pPr>
    </w:p>
    <w:p w14:paraId="11D9003F" w14:textId="282F4D4B" w:rsidR="0009242C" w:rsidRDefault="00000000" w:rsidP="009F7E13">
      <w:pPr>
        <w:jc w:val="both"/>
        <w:rPr>
          <w:rFonts w:ascii="Arial Regular" w:hAnsi="Arial Regular" w:cs="Arial Regular"/>
          <w:sz w:val="22"/>
          <w:szCs w:val="22"/>
        </w:rPr>
      </w:pPr>
      <w:r>
        <w:rPr>
          <w:rFonts w:ascii="Arial Regular" w:hAnsi="Arial Regular" w:cs="Arial Regular"/>
          <w:sz w:val="22"/>
          <w:szCs w:val="22"/>
        </w:rPr>
        <w:t>Figure 9 presents a parallel coordinates graph showing the sets won and lost by champions and their runners-up. The graph highlights a significant outlier</w:t>
      </w:r>
      <w:r w:rsidR="009A6F39">
        <w:rPr>
          <w:rFonts w:ascii="Arial Regular" w:hAnsi="Arial Regular" w:cs="Arial Regular"/>
          <w:sz w:val="22"/>
          <w:szCs w:val="22"/>
        </w:rPr>
        <w:t>:</w:t>
      </w:r>
      <w:r>
        <w:rPr>
          <w:rFonts w:ascii="Arial Regular" w:hAnsi="Arial Regular" w:cs="Arial Regular"/>
          <w:sz w:val="22"/>
          <w:szCs w:val="22"/>
        </w:rPr>
        <w:t xml:space="preserve"> Gerald Patterson playing the longest set in Australian Open history in 1927, with an 18-16 win over John Hawkes. This illustrates the </w:t>
      </w:r>
      <w:r w:rsidR="009A6F39">
        <w:rPr>
          <w:rFonts w:ascii="Arial Regular" w:hAnsi="Arial Regular" w:cs="Arial Regular"/>
          <w:sz w:val="22"/>
          <w:szCs w:val="22"/>
        </w:rPr>
        <w:t xml:space="preserve">tournament's competitive </w:t>
      </w:r>
      <w:proofErr w:type="gramStart"/>
      <w:r w:rsidR="009A6F39">
        <w:rPr>
          <w:rFonts w:ascii="Arial Regular" w:hAnsi="Arial Regular" w:cs="Arial Regular"/>
          <w:sz w:val="22"/>
          <w:szCs w:val="22"/>
        </w:rPr>
        <w:t>nature</w:t>
      </w:r>
      <w:proofErr w:type="gramEnd"/>
      <w:r w:rsidR="009A6F39">
        <w:rPr>
          <w:rFonts w:ascii="Arial Regular" w:hAnsi="Arial Regular" w:cs="Arial Regular"/>
          <w:sz w:val="22"/>
          <w:szCs w:val="22"/>
        </w:rPr>
        <w:t xml:space="preserve"> and the endurance players require</w:t>
      </w:r>
      <w:r>
        <w:rPr>
          <w:rFonts w:ascii="Arial Regular" w:hAnsi="Arial Regular" w:cs="Arial Regular"/>
          <w:sz w:val="22"/>
          <w:szCs w:val="22"/>
        </w:rPr>
        <w:t>.</w:t>
      </w:r>
    </w:p>
    <w:p w14:paraId="4CEB3C6A" w14:textId="77777777" w:rsidR="0009242C" w:rsidRDefault="00000000" w:rsidP="009F7E13">
      <w:pPr>
        <w:jc w:val="both"/>
        <w:rPr>
          <w:rFonts w:ascii="Arial Regular" w:hAnsi="Arial Regular" w:cs="Arial Regular"/>
          <w:sz w:val="22"/>
          <w:szCs w:val="22"/>
        </w:rPr>
      </w:pPr>
      <w:r>
        <w:rPr>
          <w:rFonts w:ascii="Arial Regular" w:hAnsi="Arial Regular" w:cs="Arial Regular"/>
          <w:noProof/>
          <w:sz w:val="22"/>
          <w:szCs w:val="22"/>
        </w:rPr>
        <w:lastRenderedPageBreak/>
        <w:drawing>
          <wp:inline distT="0" distB="0" distL="114300" distR="114300" wp14:anchorId="7A9EEB68" wp14:editId="3DB9FEBA">
            <wp:extent cx="5274310" cy="3683000"/>
            <wp:effectExtent l="0" t="0" r="889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7"/>
                    <a:stretch>
                      <a:fillRect/>
                    </a:stretch>
                  </pic:blipFill>
                  <pic:spPr>
                    <a:xfrm>
                      <a:off x="0" y="0"/>
                      <a:ext cx="5274310" cy="3683000"/>
                    </a:xfrm>
                    <a:prstGeom prst="rect">
                      <a:avLst/>
                    </a:prstGeom>
                    <a:noFill/>
                    <a:ln w="9525">
                      <a:noFill/>
                    </a:ln>
                  </pic:spPr>
                </pic:pic>
              </a:graphicData>
            </a:graphic>
          </wp:inline>
        </w:drawing>
      </w:r>
    </w:p>
    <w:p w14:paraId="77798BF1" w14:textId="712B99B0" w:rsidR="0009242C" w:rsidRDefault="00000000" w:rsidP="009F7E13">
      <w:pPr>
        <w:jc w:val="both"/>
        <w:rPr>
          <w:rFonts w:ascii="Arial Italic" w:hAnsi="Arial Italic" w:cs="Arial Italic"/>
          <w:i/>
          <w:iCs/>
          <w:sz w:val="22"/>
          <w:szCs w:val="22"/>
        </w:rPr>
      </w:pPr>
      <w:r>
        <w:rPr>
          <w:rFonts w:ascii="Arial Italic" w:hAnsi="Arial Italic" w:cs="Arial Italic"/>
          <w:i/>
          <w:iCs/>
          <w:sz w:val="22"/>
          <w:szCs w:val="22"/>
        </w:rPr>
        <w:t>Figure 10 Parallel Coord</w:t>
      </w:r>
      <w:r w:rsidR="009A6F39">
        <w:rPr>
          <w:rFonts w:ascii="Arial Italic" w:hAnsi="Arial Italic" w:cs="Arial Italic"/>
          <w:i/>
          <w:iCs/>
          <w:sz w:val="22"/>
          <w:szCs w:val="22"/>
        </w:rPr>
        <w:t>i</w:t>
      </w:r>
      <w:r>
        <w:rPr>
          <w:rFonts w:ascii="Arial Italic" w:hAnsi="Arial Italic" w:cs="Arial Italic"/>
          <w:i/>
          <w:iCs/>
          <w:sz w:val="22"/>
          <w:szCs w:val="22"/>
        </w:rPr>
        <w:t>nates on Champions Set Win Rate</w:t>
      </w:r>
    </w:p>
    <w:p w14:paraId="0CFA89CD" w14:textId="77777777" w:rsidR="0009242C" w:rsidRDefault="0009242C" w:rsidP="009F7E13">
      <w:pPr>
        <w:jc w:val="both"/>
        <w:rPr>
          <w:rFonts w:ascii="Arial Regular" w:hAnsi="Arial Regular" w:cs="Arial Regular"/>
          <w:sz w:val="22"/>
          <w:szCs w:val="22"/>
        </w:rPr>
      </w:pPr>
    </w:p>
    <w:p w14:paraId="02852A82" w14:textId="02B0992D" w:rsidR="0009242C" w:rsidRDefault="00000000" w:rsidP="009F7E13">
      <w:pPr>
        <w:jc w:val="both"/>
        <w:rPr>
          <w:rFonts w:ascii="Arial Regular" w:hAnsi="Arial Regular" w:cs="Arial Regular"/>
          <w:sz w:val="22"/>
          <w:szCs w:val="22"/>
        </w:rPr>
      </w:pPr>
      <w:r>
        <w:rPr>
          <w:rFonts w:ascii="Arial Regular" w:hAnsi="Arial Regular" w:cs="Arial Regular"/>
          <w:sz w:val="22"/>
          <w:szCs w:val="22"/>
        </w:rPr>
        <w:t xml:space="preserve">Figure 10 presents a parallel coordinates graph showing the win rates of champions across different sets. The graph highlights how male champions' win ratios tend to flatten the more matches they play, indicating that consistency is </w:t>
      </w:r>
      <w:r w:rsidR="009A6F39">
        <w:rPr>
          <w:rFonts w:ascii="Arial Regular" w:hAnsi="Arial Regular" w:cs="Arial Regular"/>
          <w:sz w:val="22"/>
          <w:szCs w:val="22"/>
        </w:rPr>
        <w:t>critical</w:t>
      </w:r>
      <w:r>
        <w:rPr>
          <w:rFonts w:ascii="Arial Regular" w:hAnsi="Arial Regular" w:cs="Arial Regular"/>
          <w:sz w:val="22"/>
          <w:szCs w:val="22"/>
        </w:rPr>
        <w:t xml:space="preserve"> to success. Additionally, the graph reveals some champions with varying win ratios across sets, illustrating the adaptability and resilience required to succeed in competitive tennis.</w:t>
      </w:r>
    </w:p>
    <w:p w14:paraId="49BC7712" w14:textId="77777777" w:rsidR="0009242C" w:rsidRDefault="0009242C" w:rsidP="009F7E13">
      <w:pPr>
        <w:jc w:val="both"/>
        <w:rPr>
          <w:rFonts w:ascii="Arial Regular" w:hAnsi="Arial Regular" w:cs="Arial Regular"/>
          <w:sz w:val="22"/>
          <w:szCs w:val="22"/>
        </w:rPr>
      </w:pPr>
    </w:p>
    <w:p w14:paraId="5E30D012" w14:textId="3E615F64" w:rsidR="0009242C" w:rsidRDefault="00000000" w:rsidP="009F7E13">
      <w:pPr>
        <w:jc w:val="both"/>
        <w:rPr>
          <w:rFonts w:ascii="Arial Regular" w:hAnsi="Arial Regular" w:cs="Arial Regular"/>
          <w:sz w:val="22"/>
          <w:szCs w:val="22"/>
        </w:rPr>
      </w:pPr>
      <w:r>
        <w:rPr>
          <w:rFonts w:ascii="Arial Regular" w:hAnsi="Arial Regular" w:cs="Arial Regular"/>
          <w:sz w:val="22"/>
          <w:szCs w:val="22"/>
        </w:rPr>
        <w:t xml:space="preserve">In the report, parallel coordinates graphs serve as powerful visual aids, enabling the simultaneous examination of multiple variables such as sets won and lost by champions and their runners-up or champions' win rates across different sets. These graphs </w:t>
      </w:r>
      <w:r w:rsidR="009A6F39">
        <w:rPr>
          <w:rFonts w:ascii="Arial Regular" w:hAnsi="Arial Regular" w:cs="Arial Regular"/>
          <w:sz w:val="22"/>
          <w:szCs w:val="22"/>
        </w:rPr>
        <w:t>clearly represent</w:t>
      </w:r>
      <w:r>
        <w:rPr>
          <w:rFonts w:ascii="Arial Regular" w:hAnsi="Arial Regular" w:cs="Arial Regular"/>
          <w:sz w:val="22"/>
          <w:szCs w:val="22"/>
        </w:rPr>
        <w:t xml:space="preserve"> intricate relationships and trends within the dataset, aiding in </w:t>
      </w:r>
      <w:r w:rsidR="009A6F39">
        <w:rPr>
          <w:rFonts w:ascii="Arial Regular" w:hAnsi="Arial Regular" w:cs="Arial Regular"/>
          <w:sz w:val="22"/>
          <w:szCs w:val="22"/>
        </w:rPr>
        <w:t>identifying</w:t>
      </w:r>
      <w:r>
        <w:rPr>
          <w:rFonts w:ascii="Arial Regular" w:hAnsi="Arial Regular" w:cs="Arial Regular"/>
          <w:sz w:val="22"/>
          <w:szCs w:val="22"/>
        </w:rPr>
        <w:t xml:space="preserve"> significant patterns or outliers. However, they also present challenges, particularly in overcrowding with </w:t>
      </w:r>
      <w:r w:rsidR="009A6F39">
        <w:rPr>
          <w:rFonts w:ascii="Arial Regular" w:hAnsi="Arial Regular" w:cs="Arial Regular"/>
          <w:sz w:val="22"/>
          <w:szCs w:val="22"/>
        </w:rPr>
        <w:t>many</w:t>
      </w:r>
      <w:r>
        <w:rPr>
          <w:rFonts w:ascii="Arial Regular" w:hAnsi="Arial Regular" w:cs="Arial Regular"/>
          <w:sz w:val="22"/>
          <w:szCs w:val="22"/>
        </w:rPr>
        <w:t xml:space="preserve"> variables or data points, which may complicate interpretation. Additionally, ensuring the accurate conveyance of variable values is crucial to prevent potential inaccuracies or misinterpretations. Despite these limitations, parallel coordinate graphs remain indispensable tools for </w:t>
      </w:r>
      <w:proofErr w:type="spellStart"/>
      <w:r>
        <w:rPr>
          <w:rFonts w:ascii="Arial Regular" w:hAnsi="Arial Regular" w:cs="Arial Regular"/>
          <w:sz w:val="22"/>
          <w:szCs w:val="22"/>
        </w:rPr>
        <w:t>analy</w:t>
      </w:r>
      <w:r w:rsidR="009A6F39">
        <w:rPr>
          <w:rFonts w:ascii="Arial Regular" w:hAnsi="Arial Regular" w:cs="Arial Regular"/>
          <w:sz w:val="22"/>
          <w:szCs w:val="22"/>
        </w:rPr>
        <w:t>s</w:t>
      </w:r>
      <w:r>
        <w:rPr>
          <w:rFonts w:ascii="Arial Regular" w:hAnsi="Arial Regular" w:cs="Arial Regular"/>
          <w:sz w:val="22"/>
          <w:szCs w:val="22"/>
        </w:rPr>
        <w:t>ing</w:t>
      </w:r>
      <w:proofErr w:type="spellEnd"/>
      <w:r>
        <w:rPr>
          <w:rFonts w:ascii="Arial Regular" w:hAnsi="Arial Regular" w:cs="Arial Regular"/>
          <w:sz w:val="22"/>
          <w:szCs w:val="22"/>
        </w:rPr>
        <w:t xml:space="preserve"> complex data in the </w:t>
      </w:r>
      <w:r w:rsidR="009A6F39">
        <w:rPr>
          <w:rFonts w:ascii="Arial Regular" w:hAnsi="Arial Regular" w:cs="Arial Regular"/>
          <w:sz w:val="22"/>
          <w:szCs w:val="22"/>
        </w:rPr>
        <w:t>report's contex</w:t>
      </w:r>
      <w:r>
        <w:rPr>
          <w:rFonts w:ascii="Arial Regular" w:hAnsi="Arial Regular" w:cs="Arial Regular"/>
          <w:sz w:val="22"/>
          <w:szCs w:val="22"/>
        </w:rPr>
        <w:t xml:space="preserve">t, demanding careful consideration to address potential interpretation challenges while harnessing their analytical benefits. </w:t>
      </w:r>
    </w:p>
    <w:p w14:paraId="11AB2DEA" w14:textId="77777777" w:rsidR="0009242C" w:rsidRDefault="0009242C" w:rsidP="009F7E13">
      <w:pPr>
        <w:jc w:val="both"/>
        <w:rPr>
          <w:rFonts w:ascii="Arial Regular" w:hAnsi="Arial Regular" w:cs="Arial Regular"/>
          <w:sz w:val="22"/>
          <w:szCs w:val="22"/>
        </w:rPr>
      </w:pPr>
    </w:p>
    <w:p w14:paraId="6F0D28A5" w14:textId="77777777" w:rsidR="0009242C" w:rsidRDefault="00000000" w:rsidP="009F7E13">
      <w:pPr>
        <w:jc w:val="both"/>
        <w:rPr>
          <w:rFonts w:ascii="Arial Regular" w:hAnsi="Arial Regular" w:cs="Arial Regular"/>
          <w:sz w:val="22"/>
          <w:szCs w:val="22"/>
        </w:rPr>
      </w:pPr>
      <w:r>
        <w:rPr>
          <w:rFonts w:ascii="Arial Regular" w:hAnsi="Arial Regular" w:cs="Arial Regular"/>
          <w:noProof/>
          <w:sz w:val="22"/>
          <w:szCs w:val="22"/>
        </w:rPr>
        <w:lastRenderedPageBreak/>
        <w:drawing>
          <wp:inline distT="0" distB="0" distL="114300" distR="114300" wp14:anchorId="236DE87C" wp14:editId="4A7C9864">
            <wp:extent cx="5274310" cy="3683000"/>
            <wp:effectExtent l="0" t="0" r="889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18"/>
                    <a:stretch>
                      <a:fillRect/>
                    </a:stretch>
                  </pic:blipFill>
                  <pic:spPr>
                    <a:xfrm>
                      <a:off x="0" y="0"/>
                      <a:ext cx="5274310" cy="3683000"/>
                    </a:xfrm>
                    <a:prstGeom prst="rect">
                      <a:avLst/>
                    </a:prstGeom>
                    <a:noFill/>
                    <a:ln w="9525">
                      <a:noFill/>
                    </a:ln>
                  </pic:spPr>
                </pic:pic>
              </a:graphicData>
            </a:graphic>
          </wp:inline>
        </w:drawing>
      </w:r>
    </w:p>
    <w:p w14:paraId="66DD3C72" w14:textId="77777777" w:rsidR="0009242C" w:rsidRDefault="00000000" w:rsidP="009F7E13">
      <w:pPr>
        <w:jc w:val="both"/>
        <w:rPr>
          <w:rFonts w:ascii="Arial Italic" w:hAnsi="Arial Italic" w:cs="Arial Italic"/>
          <w:i/>
          <w:iCs/>
          <w:sz w:val="22"/>
          <w:szCs w:val="22"/>
        </w:rPr>
      </w:pPr>
      <w:r>
        <w:rPr>
          <w:rFonts w:ascii="Arial Italic" w:hAnsi="Arial Italic" w:cs="Arial Italic"/>
          <w:i/>
          <w:iCs/>
          <w:sz w:val="22"/>
          <w:szCs w:val="22"/>
        </w:rPr>
        <w:t>Figure 11 Scatter Plot on Set Played Vs Avg Win Ratio</w:t>
      </w:r>
    </w:p>
    <w:p w14:paraId="5064E104" w14:textId="77777777" w:rsidR="0009242C" w:rsidRDefault="0009242C" w:rsidP="009F7E13">
      <w:pPr>
        <w:jc w:val="both"/>
        <w:rPr>
          <w:rFonts w:ascii="Arial Italic" w:hAnsi="Arial Italic" w:cs="Arial Italic"/>
          <w:i/>
          <w:iCs/>
          <w:sz w:val="22"/>
          <w:szCs w:val="22"/>
        </w:rPr>
      </w:pPr>
    </w:p>
    <w:p w14:paraId="49193D1B" w14:textId="032BE0C6" w:rsidR="0009242C" w:rsidRDefault="00000000" w:rsidP="009F7E13">
      <w:pPr>
        <w:jc w:val="both"/>
        <w:rPr>
          <w:rFonts w:ascii="Arial Regular" w:hAnsi="Arial Regular" w:cs="Arial Regular"/>
          <w:sz w:val="22"/>
          <w:szCs w:val="22"/>
        </w:rPr>
      </w:pPr>
      <w:r>
        <w:rPr>
          <w:rFonts w:ascii="Arial Regular" w:hAnsi="Arial Regular" w:cs="Arial Regular"/>
          <w:sz w:val="22"/>
          <w:szCs w:val="22"/>
        </w:rPr>
        <w:t xml:space="preserve">Figure 11 shows a scatter plot comparing the number of matches played to the average win ratio for champions. The plot shows that, in general, the more matches a champion has played, the lower their average win ratio tends to be. This suggests that as champions compete in more matches, they face tougher competition, resulting in a drop or </w:t>
      </w:r>
      <w:proofErr w:type="spellStart"/>
      <w:r>
        <w:rPr>
          <w:rFonts w:ascii="Arial Regular" w:hAnsi="Arial Regular" w:cs="Arial Regular"/>
          <w:sz w:val="22"/>
          <w:szCs w:val="22"/>
        </w:rPr>
        <w:t>stabili</w:t>
      </w:r>
      <w:r w:rsidR="009A6F39">
        <w:rPr>
          <w:rFonts w:ascii="Arial Regular" w:hAnsi="Arial Regular" w:cs="Arial Regular"/>
          <w:sz w:val="22"/>
          <w:szCs w:val="22"/>
        </w:rPr>
        <w:t>s</w:t>
      </w:r>
      <w:r>
        <w:rPr>
          <w:rFonts w:ascii="Arial Regular" w:hAnsi="Arial Regular" w:cs="Arial Regular"/>
          <w:sz w:val="22"/>
          <w:szCs w:val="22"/>
        </w:rPr>
        <w:t>ation</w:t>
      </w:r>
      <w:proofErr w:type="spellEnd"/>
      <w:r>
        <w:rPr>
          <w:rFonts w:ascii="Arial Regular" w:hAnsi="Arial Regular" w:cs="Arial Regular"/>
          <w:sz w:val="22"/>
          <w:szCs w:val="22"/>
        </w:rPr>
        <w:t xml:space="preserve"> in their win ratio.</w:t>
      </w:r>
    </w:p>
    <w:p w14:paraId="684A08CD" w14:textId="77777777" w:rsidR="0009242C" w:rsidRDefault="0009242C" w:rsidP="009F7E13">
      <w:pPr>
        <w:jc w:val="both"/>
        <w:rPr>
          <w:rFonts w:ascii="Arial Regular" w:hAnsi="Arial Regular" w:cs="Arial Regular"/>
          <w:sz w:val="22"/>
          <w:szCs w:val="22"/>
        </w:rPr>
      </w:pPr>
    </w:p>
    <w:p w14:paraId="7B409210" w14:textId="77777777" w:rsidR="0009242C" w:rsidRDefault="00000000" w:rsidP="009F7E13">
      <w:pPr>
        <w:jc w:val="both"/>
        <w:rPr>
          <w:rFonts w:ascii="Arial Bold" w:hAnsi="Arial Bold" w:cs="Arial Bold"/>
          <w:b/>
          <w:bCs/>
          <w:sz w:val="22"/>
          <w:szCs w:val="22"/>
        </w:rPr>
      </w:pPr>
      <w:r>
        <w:rPr>
          <w:rFonts w:ascii="Arial Bold" w:hAnsi="Arial Bold" w:cs="Arial Bold"/>
          <w:b/>
          <w:bCs/>
          <w:sz w:val="22"/>
          <w:szCs w:val="22"/>
        </w:rPr>
        <w:t>Conclusion</w:t>
      </w:r>
    </w:p>
    <w:p w14:paraId="11289110" w14:textId="52C09844" w:rsidR="009A6F39" w:rsidRPr="009A6F39" w:rsidRDefault="009A6F39" w:rsidP="009F7E13">
      <w:pPr>
        <w:jc w:val="both"/>
        <w:rPr>
          <w:rFonts w:ascii="Arial Regular" w:hAnsi="Arial Regular" w:cs="Arial Regular"/>
          <w:sz w:val="22"/>
          <w:szCs w:val="22"/>
        </w:rPr>
      </w:pPr>
      <w:r w:rsidRPr="009A6F39">
        <w:rPr>
          <w:rFonts w:ascii="Arial Regular" w:hAnsi="Arial Regular" w:cs="Arial Regular"/>
          <w:sz w:val="22"/>
          <w:szCs w:val="22"/>
        </w:rPr>
        <w:t xml:space="preserve">In conclusion, the comprehensive analysis of the Australian Open tennis dataset has provided valuable insights into the tournament's rich history and the performance of top players over the years. The report identifies several key findings, including the dominance of top players like Novak Djokovic, Margaret Smith, and Serena Williams, the diversity of champion nationalities over time, and the contributions of various countries. Geographic </w:t>
      </w:r>
      <w:proofErr w:type="spellStart"/>
      <w:r w:rsidRPr="009A6F39">
        <w:rPr>
          <w:rFonts w:ascii="Arial Regular" w:hAnsi="Arial Regular" w:cs="Arial Regular"/>
          <w:sz w:val="22"/>
          <w:szCs w:val="22"/>
        </w:rPr>
        <w:t>visuali</w:t>
      </w:r>
      <w:r>
        <w:rPr>
          <w:rFonts w:ascii="Arial Regular" w:hAnsi="Arial Regular" w:cs="Arial Regular"/>
          <w:sz w:val="22"/>
          <w:szCs w:val="22"/>
        </w:rPr>
        <w:t>s</w:t>
      </w:r>
      <w:r w:rsidRPr="009A6F39">
        <w:rPr>
          <w:rFonts w:ascii="Arial Regular" w:hAnsi="Arial Regular" w:cs="Arial Regular"/>
          <w:sz w:val="22"/>
          <w:szCs w:val="22"/>
        </w:rPr>
        <w:t>ations</w:t>
      </w:r>
      <w:proofErr w:type="spellEnd"/>
      <w:r w:rsidRPr="009A6F39">
        <w:rPr>
          <w:rFonts w:ascii="Arial Regular" w:hAnsi="Arial Regular" w:cs="Arial Regular"/>
          <w:sz w:val="22"/>
          <w:szCs w:val="22"/>
        </w:rPr>
        <w:t>, tree maps, scatter plots, and parallel coordinates graphs offer diverse perspectives, examining trends, patterns, and comparisons across different dimensions, including nationality distribution, set win rates, and win ratios.</w:t>
      </w:r>
    </w:p>
    <w:p w14:paraId="5C51DD4A" w14:textId="77777777" w:rsidR="009A6F39" w:rsidRPr="009A6F39" w:rsidRDefault="009A6F39" w:rsidP="009F7E13">
      <w:pPr>
        <w:jc w:val="both"/>
        <w:rPr>
          <w:rFonts w:ascii="Arial Regular" w:hAnsi="Arial Regular" w:cs="Arial Regular"/>
          <w:sz w:val="22"/>
          <w:szCs w:val="22"/>
        </w:rPr>
      </w:pPr>
    </w:p>
    <w:p w14:paraId="773057BC" w14:textId="0D0DD827" w:rsidR="0009242C" w:rsidRDefault="009A6F39" w:rsidP="009F7E13">
      <w:pPr>
        <w:jc w:val="both"/>
        <w:rPr>
          <w:rFonts w:ascii="Arial Regular" w:hAnsi="Arial Regular" w:cs="Arial Regular"/>
          <w:sz w:val="22"/>
          <w:szCs w:val="22"/>
        </w:rPr>
      </w:pPr>
      <w:r w:rsidRPr="009A6F39">
        <w:rPr>
          <w:rFonts w:ascii="Arial Regular" w:hAnsi="Arial Regular" w:cs="Arial Regular"/>
          <w:sz w:val="22"/>
          <w:szCs w:val="22"/>
        </w:rPr>
        <w:lastRenderedPageBreak/>
        <w:t>Tableau has facilitated the clear presentation of complex data, allowing us to explore the relationships between champion nationalities, performance consistency, and individual accomplishments. This comprehensive analysis reinforces the Australian Open's global reach and competitive nature, highlighting t</w:t>
      </w:r>
      <w:r>
        <w:rPr>
          <w:rFonts w:ascii="Arial Regular" w:hAnsi="Arial Regular" w:cs="Arial Regular"/>
          <w:sz w:val="22"/>
          <w:szCs w:val="22"/>
        </w:rPr>
        <w:t>ennis trends, achievements, and inclusivity</w:t>
      </w:r>
      <w:r w:rsidRPr="009A6F39">
        <w:rPr>
          <w:rFonts w:ascii="Arial Regular" w:hAnsi="Arial Regular" w:cs="Arial Regular"/>
          <w:sz w:val="22"/>
          <w:szCs w:val="22"/>
        </w:rPr>
        <w:t xml:space="preserve">. Overall, this report underscores the importance of data </w:t>
      </w:r>
      <w:proofErr w:type="spellStart"/>
      <w:r w:rsidRPr="009A6F39">
        <w:rPr>
          <w:rFonts w:ascii="Arial Regular" w:hAnsi="Arial Regular" w:cs="Arial Regular"/>
          <w:sz w:val="22"/>
          <w:szCs w:val="22"/>
        </w:rPr>
        <w:t>visuali</w:t>
      </w:r>
      <w:r>
        <w:rPr>
          <w:rFonts w:ascii="Arial Regular" w:hAnsi="Arial Regular" w:cs="Arial Regular"/>
          <w:sz w:val="22"/>
          <w:szCs w:val="22"/>
        </w:rPr>
        <w:t>s</w:t>
      </w:r>
      <w:r w:rsidRPr="009A6F39">
        <w:rPr>
          <w:rFonts w:ascii="Arial Regular" w:hAnsi="Arial Regular" w:cs="Arial Regular"/>
          <w:sz w:val="22"/>
          <w:szCs w:val="22"/>
        </w:rPr>
        <w:t>ation</w:t>
      </w:r>
      <w:proofErr w:type="spellEnd"/>
      <w:r w:rsidRPr="009A6F39">
        <w:rPr>
          <w:rFonts w:ascii="Arial Regular" w:hAnsi="Arial Regular" w:cs="Arial Regular"/>
          <w:sz w:val="22"/>
          <w:szCs w:val="22"/>
        </w:rPr>
        <w:t xml:space="preserve"> in uncovering meaningful insights</w:t>
      </w:r>
      <w:r>
        <w:rPr>
          <w:rFonts w:ascii="Arial Regular" w:hAnsi="Arial Regular" w:cs="Arial Regular"/>
          <w:sz w:val="22"/>
          <w:szCs w:val="22"/>
        </w:rPr>
        <w:t xml:space="preserve"> and informing people interested in tennis about the trends</w:t>
      </w:r>
      <w:r>
        <w:rPr>
          <w:rFonts w:ascii="Lato" w:hAnsi="Lato"/>
          <w:color w:val="252B2B"/>
          <w:shd w:val="clear" w:color="auto" w:fill="FFFFFF"/>
        </w:rPr>
        <w:t xml:space="preserve"> or changes in the past 120 years.</w:t>
      </w:r>
    </w:p>
    <w:sectPr w:rsidR="0009242C">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4D423" w14:textId="77777777" w:rsidR="007E03F1" w:rsidRDefault="007E03F1">
      <w:r>
        <w:separator/>
      </w:r>
    </w:p>
  </w:endnote>
  <w:endnote w:type="continuationSeparator" w:id="0">
    <w:p w14:paraId="3116EC3A" w14:textId="77777777" w:rsidR="007E03F1" w:rsidRDefault="007E0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ria">
    <w:altName w:val="苹方-简"/>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panose1 w:val="020B0604020202020204"/>
    <w:charset w:val="00"/>
    <w:family w:val="swiss"/>
    <w:pitch w:val="default"/>
    <w:sig w:usb0="00000000" w:usb1="00000000" w:usb2="00000021" w:usb3="00000000" w:csb0="000001BF" w:csb1="00000000"/>
  </w:font>
  <w:font w:name="Microsoft YaHei">
    <w:altName w:val="汉仪旗黑"/>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Bold">
    <w:altName w:val="Arial"/>
    <w:panose1 w:val="020B0604020202020204"/>
    <w:charset w:val="00"/>
    <w:family w:val="auto"/>
    <w:pitch w:val="default"/>
    <w:sig w:usb0="E0000AFF" w:usb1="00007843" w:usb2="00000001" w:usb3="00000000" w:csb0="400001BF" w:csb1="DFF70000"/>
  </w:font>
  <w:font w:name="Arial Regular">
    <w:altName w:val="Arial"/>
    <w:panose1 w:val="020B0604020202020204"/>
    <w:charset w:val="00"/>
    <w:family w:val="auto"/>
    <w:pitch w:val="default"/>
    <w:sig w:usb0="E0000AFF" w:usb1="00007843" w:usb2="00000001" w:usb3="00000000" w:csb0="400001BF" w:csb1="DFF70000"/>
  </w:font>
  <w:font w:name="Arial Italic">
    <w:altName w:val="Arial"/>
    <w:panose1 w:val="020B0604020202020204"/>
    <w:charset w:val="00"/>
    <w:family w:val="auto"/>
    <w:pitch w:val="default"/>
    <w:sig w:usb0="E0000AFF" w:usb1="00007843" w:usb2="00000001" w:usb3="00000000" w:csb0="400001BF" w:csb1="DFF7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FF9D8" w14:textId="77777777" w:rsidR="0009242C" w:rsidRDefault="00092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F08B4" w14:textId="77777777" w:rsidR="007E03F1" w:rsidRDefault="007E03F1">
      <w:r>
        <w:separator/>
      </w:r>
    </w:p>
  </w:footnote>
  <w:footnote w:type="continuationSeparator" w:id="0">
    <w:p w14:paraId="12A6C9F0" w14:textId="77777777" w:rsidR="007E03F1" w:rsidRDefault="007E0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F9701" w14:textId="77777777" w:rsidR="0009242C" w:rsidRDefault="00092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25436"/>
    <w:multiLevelType w:val="singleLevel"/>
    <w:tmpl w:val="66325436"/>
    <w:lvl w:ilvl="0">
      <w:start w:val="1"/>
      <w:numFmt w:val="decimal"/>
      <w:lvlText w:val="%1."/>
      <w:lvlJc w:val="left"/>
      <w:pPr>
        <w:ind w:left="425" w:hanging="425"/>
      </w:pPr>
      <w:rPr>
        <w:rFonts w:hint="default"/>
      </w:rPr>
    </w:lvl>
  </w:abstractNum>
  <w:abstractNum w:abstractNumId="1" w15:restartNumberingAfterBreak="0">
    <w:nsid w:val="66325656"/>
    <w:multiLevelType w:val="singleLevel"/>
    <w:tmpl w:val="66325656"/>
    <w:lvl w:ilvl="0">
      <w:start w:val="1"/>
      <w:numFmt w:val="bullet"/>
      <w:lvlText w:val=""/>
      <w:lvlJc w:val="left"/>
      <w:pPr>
        <w:ind w:left="420" w:hanging="420"/>
      </w:pPr>
      <w:rPr>
        <w:rFonts w:ascii="Wingdings" w:hAnsi="Wingdings" w:hint="default"/>
      </w:rPr>
    </w:lvl>
  </w:abstractNum>
  <w:num w:numId="1" w16cid:durableId="810564672">
    <w:abstractNumId w:val="0"/>
  </w:num>
  <w:num w:numId="2" w16cid:durableId="5377459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FD7A267"/>
    <w:rsid w:val="2FD7A267"/>
    <w:rsid w:val="9BB91F2C"/>
    <w:rsid w:val="F67E0C89"/>
    <w:rsid w:val="0009242C"/>
    <w:rsid w:val="006264B9"/>
    <w:rsid w:val="007E03F1"/>
    <w:rsid w:val="009A6F39"/>
    <w:rsid w:val="009F7E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652E254"/>
  <w15:docId w15:val="{C5BDF4BA-8B80-3547-9CAF-F85BAF197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MY"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keepLines/>
      <w:widowControl w:val="0"/>
      <w:suppressAutoHyphens/>
    </w:pPr>
    <w:rPr>
      <w:rFonts w:ascii="Cambria" w:eastAsia="MS Mincho" w:hAnsi="Cambria" w:cstheme="minorBidi"/>
      <w:color w:val="00000A"/>
      <w:sz w:val="24"/>
      <w:szCs w:val="24"/>
      <w:lang w:val="en-US" w:eastAsia="en-US"/>
    </w:rPr>
  </w:style>
  <w:style w:type="paragraph" w:styleId="Heading1">
    <w:name w:val="heading 1"/>
    <w:basedOn w:val="Normal"/>
    <w:next w:val="Normal"/>
    <w:qFormat/>
    <w:pPr>
      <w:keepNext/>
      <w:spacing w:before="340" w:after="330" w:line="578" w:lineRule="auto"/>
      <w:outlineLvl w:val="0"/>
    </w:pPr>
    <w:rPr>
      <w:b/>
      <w:bCs/>
      <w:kern w:val="44"/>
      <w:sz w:val="44"/>
      <w:szCs w:val="44"/>
    </w:rPr>
  </w:style>
  <w:style w:type="paragraph" w:styleId="Heading2">
    <w:name w:val="heading 2"/>
    <w:basedOn w:val="Heading"/>
    <w:next w:val="Normal"/>
    <w:unhideWhenUsed/>
    <w:qFormat/>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qFormat/>
    <w:pPr>
      <w:spacing w:after="140" w:line="288" w:lineRule="auto"/>
    </w:p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basedOn w:val="Normal"/>
    <w:qFormat/>
    <w:pPr>
      <w:keepLines w:val="0"/>
      <w:widowControl/>
      <w:suppressAutoHyphens w:val="0"/>
      <w:spacing w:before="100" w:beforeAutospacing="1" w:after="100" w:afterAutospacing="1"/>
    </w:pPr>
    <w:rPr>
      <w:rFonts w:ascii="Times New Roman" w:eastAsia="Times New Roman" w:hAnsi="Times New Roman" w:cs="Times New Roman"/>
      <w:color w:val="auto"/>
      <w:lang w:val="en-AU" w:eastAsia="en-GB"/>
    </w:rPr>
  </w:style>
  <w:style w:type="character" w:customStyle="1" w:styleId="apple-converted-space">
    <w:name w:val="apple-converted-space"/>
    <w:basedOn w:val="DefaultParagraphFont"/>
    <w:rsid w:val="009A6F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2538</Words>
  <Characters>14473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lms</dc:creator>
  <cp:lastModifiedBy>Man Sing Lee</cp:lastModifiedBy>
  <cp:revision>3</cp:revision>
  <dcterms:created xsi:type="dcterms:W3CDTF">2024-05-01T15:01:00Z</dcterms:created>
  <dcterms:modified xsi:type="dcterms:W3CDTF">2024-05-01T15:02:00Z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