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8c1a715672b91a2a57821cca8d271555e82f7d1"/>
    <w:p>
      <w:pPr>
        <w:pStyle w:val="RouteCKicker"/>
      </w:pPr>
      <w:r>
        <w:rPr>
          <w:rFonts w:ascii="Calibri" w:hAnsi="Calibri" w:eastAsia="Calibri" w:cs="Calibri" w:hint="eastAsia"/>
        </w:rPr>
        <w:t>ROUTE C • METHODS AND EVIDENCE-BOUNDARY WORKING MANUSCRIPT</w:t>
      </w:r>
    </w:p>
    <w:p>
      <w:pPr>
        <w:pStyle w:val="Title"/>
      </w:pPr>
      <w:r>
        <w:rPr>
          <w:rFonts w:ascii="Calibri" w:hAnsi="Calibri" w:eastAsia="Calibri" w:cs="Calibri" w:hint="eastAsia"/>
        </w:rPr>
        <w:t xml:space="preserve">Version-Bound Maintenance for Mutable Homomorphic Sparse Matrix–Vector Multiplication: A Fail-Closed Evaluation Boundary</w:t>
      </w:r>
    </w:p>
    <w:p>
      <w:pPr>
        <w:pStyle w:val="BlockText"/>
        <w:shd w:fill="F4F6F9"/>
        <w:pBdr>
          <w:left w:val="single" w:sz="18" w:space="8" w:color="2E74B5"/>
        </w:pBdr>
      </w:pPr>
      <w:r>
        <w:rPr>
          <w:rFonts w:ascii="Calibri" w:hAnsi="Calibri" w:eastAsia="Calibri" w:cs="Calibri" w:hint="eastAsia"/>
          <w:b/>
          <w:bCs/>
        </w:rPr>
        <w:t xml:space="preserve">Manuscript status: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Route C methods/boundary working draft. The primary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one-shot qualification and a later, separately preregistered follow-up both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selected their frozen stop routes. No comparative performance,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complete-reference, security, or end-to-end claim is released. Evidence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status last synchronized: 2026-08-31.</w:t>
      </w:r>
    </w:p>
    <w:bookmarkStart w:id="9" w:name="abstract"/>
    <w:p>
      <w:pPr>
        <w:pStyle w:val="Heading1"/>
      </w:pPr>
      <w:r>
        <w:rPr>
          <w:rFonts w:ascii="Calibri" w:hAnsi="Calibri" w:eastAsia="Calibri" w:cs="Calibri" w:hint="eastAsia"/>
        </w:rPr>
        <w:t xml:space="preserve">Abstract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Compressed sparse layouts make homomorphic sparse matrix–vector multiplication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practical for static patterns, but updates also change value placement, query-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reorganization metadata, and encrypted-output-to-row mappings. Full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recompression at each freshness boundary requires base-wide work; auxiliary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components trade publication work for query work and observable structure.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We present an update-aware layer around the published Compressed Sparse Sorted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Column (CSSC) representation. Freshness-bounded Publication Windows bind each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query to an immutable matrix version, global-column metadata, and a private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RowMap-sensitive reconstruction plan. For multi-component layouts, the plan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distinguishes overlaps from disjoint blocks and drives overlap-scoped one-time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zero-sum masking with persistent no-reuse bindings. A fixed-segment delta lets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Cloud execute a public page-wide schedule while the client privately merges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segment leaders. A typed bundle binds the CSSC base, delta, operands, routes,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operation graph and fails closed on version or plan substitution.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Our frozen evaluation protocol was specified to compare three fixed maintenance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mechanisms under the same versioned event streams, query schedules, public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parameters, and initial states. An admitted execution would have separated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state-transition costs, exact typed operation counts, type-derived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serialized-byte bounds, a narrowly registered query-linearity projection,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native OpenFHE observations. The frozen matrix specified six synthetic shards,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four ordered-event shards derived from one SNAP source object, and six native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OpenFHE cases. Independent replay and terminal admission would have had to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accept exactly the resulting 17 pre-aggregate artifacts before analysis could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release any empirical sentence.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primary preregistered, permanently non-admissible qualification did not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reach its combined guard within the frozen computational deadline. A later,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separately preregistered follow-up passed five exact-source authority-false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controls, but its sole provider run was cancelled during hosted-runner setup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after the external controller could not establish the watcher-admission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binding. No repository checkout, registered-seed step, scientific stage, 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 occurred. Under the frozen one-shot rules, both paths terminated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without a formal-dispatch capability; the acquisition and 16-unit formal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campaign were not started. We report the protocol, its definition-level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functional obligations, the source/evidence separation, and these fail-closed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evaluation boundaries. We do not convert partial qualification execution,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runner setup, or prerequisite controls into strategy-cost or native-OpenFHE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performance evidence.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Keywords: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homomorphic encryption; sparse matrix–vector multiplication;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mutable sparse matrices; cryptographic engineering; reproducible evaluation</w:t>
      </w:r>
    </w:p>
    <w:bookmarkEnd w:id="9"/>
    <w:bookmarkStart w:id="11" w:name="introduction"/>
    <w:p>
      <w:pPr>
        <w:pStyle w:val="Heading1"/>
      </w:pPr>
      <w:r>
        <w:rPr>
          <w:rFonts w:ascii="Calibri" w:hAnsi="Calibri" w:eastAsia="Calibri" w:cs="Calibri" w:hint="eastAsia"/>
        </w:rPr>
        <w:t xml:space="preserve">1. Introduction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Encrypted sparse linear algebra sits at an awkward boundary between cryptography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data layout. Homomorphic encryption hides values but makes data movement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permutation expensive. Sparse formats reduce arithmetic on zeros, yet they also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turn a matrix’s support into layout metadata and require a client to align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encrypted query with physical value lanes. CSSC addresses the static case by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sorting rows, packing capacity-fitting rectangles, and retaining the metadata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needed to recover logical outputs. Its own stated limitation is a static sparse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pattern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gao2026cssc">
        <w:r>
          <w:rPr>
            <w:rStyle w:val="Hyperlink"/>
          </w:rPr>
          <w:t xml:space="preserve">Gao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A mutable matrix cannot be handled by changing values alone. An insertion may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consume padding, create an overflow component, change a row permutation, or force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new query-reorganization metadata. A deletion may leave reusable physical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capacity without changing the logical matrix dimension. Meanwhile, a query must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combine a new matrix component with an old column-index array or reconstruct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shares using a plan from another version. These are system-level consistency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requirements, not details of the underlying homomorphic primitive.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naive policy republishes a fully recompressed CSSC layout after every batch.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Alternative policies retain slack, patch local regions, append a delta, 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periodically fold auxiliary state into the base. Their relative merit depends 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update/query ratio, freshness deadline, layout history, communication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bandwidth, and the exact encrypted output path. Evaluating each window from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fresh initial layout, selecting with held-out information, or omitting returned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ciphertexts and masking work can confound a comparison.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This paper therefore asks a narrower, auditable question: how should mutable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CSSC state be published, queried, reconstructed, and compared without breaking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version semantics or overstating evidence?</w:t>
      </w:r>
    </w:p>
    <w:bookmarkStart w:id="10" w:name="contributions"/>
    <w:p>
      <w:pPr>
        <w:pStyle w:val="Heading2"/>
      </w:pPr>
      <w:r>
        <w:rPr>
          <w:rFonts w:ascii="Calibri" w:hAnsi="Calibri" w:eastAsia="Calibri" w:cs="Calibri" w:hint="eastAsia"/>
        </w:rP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 w:hint="eastAsia"/>
          <w:b/>
          <w:bCs/>
        </w:rPr>
        <w:t xml:space="preserve">Version-bound publication semantics.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We define Publication Windows and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commit rule that binds logical state, CSSC components, global-column query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metadata, the reconstruction plan, and prepared queries to one version.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 w:hint="eastAsia"/>
          <w:b/>
          <w:bCs/>
        </w:rPr>
        <w:t xml:space="preserve">Explicit multi-component reconstruction.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We introduce a private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RowMap-sensitive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OutputPlan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that distinguishes overlap summation, disjoint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block concatenation, and implicit zeros.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 w:hint="eastAsia"/>
          <w:b/>
          <w:bCs/>
        </w:rPr>
        <w:t xml:space="preserve">Scoped masking integration.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We derive overlap-only F1-M operands from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plan and bind every random mask to a persistent, reserve-before-sample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five-field identity. The underlying canceling-mask idea is prior art;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contribution claimed here is its versioned CSSC integration.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 w:hint="eastAsia"/>
          <w:b/>
          <w:bCs/>
        </w:rPr>
        <w:t xml:space="preserve">A designated strong fixed-segment reference path.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We define public fixed-width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segment/page shapes, cloud-side leader reduction, private leader merging,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 deterministic whole-query execution bundle. We do not claim a new 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primitive or a formal security proof.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 w:hint="eastAsia"/>
          <w:b/>
          <w:bCs/>
        </w:rPr>
        <w:t xml:space="preserve">Causal, fail-closed evaluation.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We freeze three strategy identities rather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than train an online selector, advance independent states through identical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deterministic streams, separate measured and projected quantities, and bind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every reportable claim to independently replayed, digest-addressed evidence.</w:t>
      </w:r>
    </w:p>
    <w:bookmarkEnd w:id="10"/>
    <w:bookmarkEnd w:id="11"/>
    <w:bookmarkStart w:id="15" w:name="background-and-related-work"/>
    <w:p>
      <w:pPr>
        <w:pStyle w:val="Heading1"/>
      </w:pPr>
      <w:r>
        <w:rPr>
          <w:rFonts w:ascii="Calibri" w:hAnsi="Calibri" w:eastAsia="Calibri" w:cs="Calibri" w:hint="eastAsia"/>
        </w:rPr>
        <w:t xml:space="preserve">2. Background and Related Work</w:t>
      </w:r>
    </w:p>
    <w:bookmarkStart w:id="12" w:name="Xf192f6218c5ab8cd0bc1f5efb4b9879906b11dd"/>
    <w:p>
      <w:pPr>
        <w:pStyle w:val="Heading2"/>
      </w:pPr>
      <w:r>
        <w:rPr>
          <w:rFonts w:ascii="Calibri" w:hAnsi="Calibri" w:eastAsia="Calibri" w:cs="Calibri" w:hint="eastAsia"/>
        </w:rPr>
        <w:t xml:space="preserve">2.1 Static encrypted sparse matrix–vector multiplication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CSSC is the direct substrate of this work and must be credited for row sorting,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left-aligned sparse rectangles,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Value</w:t>
      </w:r>
      <w:r>
        <w:rPr>
          <w:rFonts w:ascii="Calibri" w:hAnsi="Calibri" w:eastAsia="Calibri" w:cs="Calibri" w:hint="eastAsia"/>
        </w:rPr>
        <w:t xml:space="preserve">, global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ColumnIndex</w:t>
      </w:r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RowMap</w:t>
      </w:r>
      <w:r>
        <w:rPr>
          <w:rFonts w:ascii="Calibri" w:hAnsi="Calibri" w:eastAsia="Calibri" w:cs="Calibri" w:hint="eastAsia"/>
        </w:rPr>
        <w:t xml:space="preserve">, chunked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query reorganization, and static aggregation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gao2026cssc">
        <w:r>
          <w:rPr>
            <w:rStyle w:val="Hyperlink"/>
          </w:rPr>
          <w:t xml:space="preserve">Gao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Our implementation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an independent pseudocode-derived reconstruction; we did not use or verify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 author implementation. Static encrypted sparse linear algebra already spans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Lodia’s low-diagonal SpMV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yu2025lodia">
        <w:r>
          <w:rPr>
            <w:rStyle w:val="Hyperlink"/>
          </w:rPr>
          <w:t xml:space="preserve">Yu et al. 2025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CipherSkip’s encrypted-value-and-index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arbitrary-shape SpGEMM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xiong2026cipherskip">
        <w:r>
          <w:rPr>
            <w:rStyle w:val="Hyperlink"/>
          </w:rPr>
          <w:t xml:space="preserve">Xiong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diagonal-packing reordering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mutluergil2026diagonal">
        <w:r>
          <w:rPr>
            <w:rStyle w:val="Hyperlink"/>
          </w:rPr>
          <w:t xml:space="preserve">Mutluergil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ciphertext–ciphertext SpMSpM on CPU and GPU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ferguson2025unstructured">
        <w:r>
          <w:rPr>
            <w:rStyle w:val="Hyperlink"/>
          </w:rPr>
          <w:t xml:space="preserve">Ferguson et al. 2025</w:t>
        </w:r>
      </w:hyperlink>
      <w:r>
        <w:rPr>
          <w:rFonts w:ascii="Calibri" w:hAnsi="Calibri" w:eastAsia="Calibri" w:cs="Calibri" w:hint="eastAsia"/>
        </w:rPr>
        <w:t xml:space="preserve">;</w:t>
      </w:r>
      <w:r>
        <w:rPr>
          <w:rFonts w:ascii="Calibri" w:hAnsi="Calibri" w:eastAsia="Calibri" w:cs="Calibri" w:hint="eastAsia"/>
        </w:rPr>
        <w:t xml:space="preserve"> </w:t>
      </w:r>
      <w:hyperlink w:anchor="ref-dagata2026gpu">
        <w:r>
          <w:rPr>
            <w:rStyle w:val="Hyperlink"/>
          </w:rPr>
          <w:t xml:space="preserve">D’Agata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and the encrypted-index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Scatter–Gather–Apply design reported by the public SparseE program abstract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wei2026sparsee">
        <w:r>
          <w:rPr>
            <w:rStyle w:val="Hyperlink"/>
          </w:rPr>
          <w:t xml:space="preserve">Wei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Rhombus separately shows plaintext-matrix/encrypted-vector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two-party MVM with additive output shares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he2024rhombus">
        <w:r>
          <w:rPr>
            <w:rStyle w:val="Hyperlink"/>
          </w:rPr>
          <w:t xml:space="preserve">He et al. 2024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These works rule out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broad claims of first encrypted indices, first sparsity-aware FHE multiplication,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first ciphertext–ciphertext sparse multiplication, or first use of random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sharing to split an MVM output.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Our claimed gap is the narrower mutable CSSC publication and reconstruction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contract; it is not a new static packing or cryptographic primitive.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Our source audit of CSSC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gao2026cssc">
        <w:r>
          <w:rPr>
            <w:rStyle w:val="Hyperlink"/>
          </w:rPr>
          <w:t xml:space="preserve">Gao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finds a non-power-of-two ambiguity in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printed aggregation pseudocode. We use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corrected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totalSum</w:t>
      </w:r>
      <w:r>
        <w:rPr>
          <w:rFonts w:ascii="Calibri" w:hAnsi="Calibri" w:eastAsia="Calibri" w:cs="Calibri" w:hint="eastAsia"/>
        </w:rPr>
        <w:t xml:space="preserve">-compatible stored-power/prefix graph that preserves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paper-derived abstract count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floor(log2 w) + popcount(w) - 1</w:t>
      </w:r>
      <w:r>
        <w:rPr>
          <w:rFonts w:ascii="Calibri" w:hAnsi="Calibri" w:eastAsia="Calibri" w:cs="Calibri" w:hint="eastAsia"/>
        </w:rPr>
        <w:t xml:space="preserve">. We present this as a compatibility correction,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as a new aggregation algorithm or verified author-code behavior; the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totalSum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connection is grounded in the HElib SIMD reduction literature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halevi2014algorithms">
        <w:r>
          <w:rPr>
            <w:rStyle w:val="Hyperlink"/>
          </w:rPr>
          <w:t xml:space="preserve">Halevi and Shoup 2014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closest methods are not interchangeable experimental baselines.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Table 1. Closest method families and the boundary of this work.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BD3DC"/>
          <w:left w:val="single" w:sz="4" w:space="0" w:color="CBD3DC"/>
          <w:bottom w:val="single" w:sz="4" w:space="0" w:color="CBD3DC"/>
          <w:right w:val="single" w:sz="4" w:space="0" w:color="CBD3DC"/>
          <w:insideH w:val="single" w:sz="4" w:space="0" w:color="CBD3DC"/>
          <w:insideV w:val="single" w:sz="4" w:space="0" w:color="CBD3DC"/>
        </w:tblBorders>
      </w:tblPr>
      <w:tblGrid>
        <w:gridCol w:w="1600"/>
        <w:gridCol w:w="2200"/>
        <w:gridCol w:w="2800"/>
        <w:gridCol w:w="2760"/>
      </w:tblGrid>
      <w:tr>
        <w:trPr>
          <w:tblHeader w:val="1"/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4F6F9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6"/>
              </w:rPr>
              <w:t xml:space="preserve">Work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4F6F9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6"/>
              </w:rPr>
              <w:t xml:space="preserve">Principal representation or setting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4F6F9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6"/>
              </w:rPr>
              <w:t xml:space="preserve">Mutable support?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4F6F9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6"/>
              </w:rPr>
              <w:t xml:space="preserve">Relation to this paper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CSSC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gao2026cssc">
              <w:r>
                <w:rPr>
                  <w:rStyle w:val="Hyperlink"/>
                </w:rPr>
                <w:t xml:space="preserve">Gao et al. 2026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Sparse-coordinate compression with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6"/>
              </w:rPr>
              <w:t xml:space="preserve">ColumnIndex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/</w:t>
            </w:r>
            <w:r>
              <w:rPr>
                <w:rStyle w:val="VerbatimChar"/>
                <w:rFonts w:ascii="Calibri" w:hAnsi="Calibri" w:eastAsia="Calibri" w:cs="Calibri" w:hint="eastAsia"/>
                <w:sz w:val="16"/>
              </w:rPr>
              <w:t xml:space="preserve">RowMap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Direct static substrate; its published layout and reorganization are not our contribution.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Lodia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yu2025lodia">
              <w:r>
                <w:rPr>
                  <w:rStyle w:val="Hyperlink"/>
                </w:rPr>
                <w:t xml:space="preserve">Yu et al. 2025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Low-diagonal decomposition for batched FHE SpMV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Establishes earlier sparsity-aware encrypted SpMV; different decomposition and leakage/cost interface.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CipherSkip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xiong2026cipherskip">
              <w:r>
                <w:rPr>
                  <w:rStyle w:val="Hyperlink"/>
                </w:rPr>
                <w:t xml:space="preserve">Xiong et al. 2026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Encrypted values and indices for arbitrary-shape SpGEMM and chained products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 matrix-state publication protocol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Its server-side alignment concerns encrypted intermediate products, not insert/delete/update of a published sparse layout.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SparseE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wei2026sparsee">
              <w:r>
                <w:rPr>
                  <w:rStyle w:val="Hyperlink"/>
                </w:rPr>
                <w:t xml:space="preserve">Wei et al. 2026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Encrypted-index Scatter–Gather–Apply with a permutation/expansion accelerator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established by the public descriptions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Establishes an encrypted-index hardware co-design boundary; as of 2026-08-30, an official program abstract and a BUAA institutional summary were public, but no public full text, DOI, or public software repository was located.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Diagonal Packing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mutluergil2026diagonal">
              <w:r>
                <w:rPr>
                  <w:rStyle w:val="Hyperlink"/>
                </w:rPr>
                <w:t xml:space="preserve">Mutluergil et al. 2026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Row/column reordering to reduce occupied cyclic diagonals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HE-aware static compiler optimization; no mutable CSSC publication or reconstruction is described.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Ferguson et al.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ferguson2025unstructured">
              <w:r>
                <w:rPr>
                  <w:rStyle w:val="Hyperlink"/>
                </w:rPr>
                <w:t xml:space="preserve">Ferguson et al. 2025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CKKS ciphertext–ciphertext SpMSpM with public sparse metadata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Demonstrates prior FHE sparsity exploitation under a PPML workload; different operation, scheme, and small square matrices.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D’Agata et al.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dagata2026gpu">
              <w:r>
                <w:rPr>
                  <w:rStyle w:val="Hyperlink"/>
                </w:rPr>
                <w:t xml:space="preserve">D’Agata et al. 2026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GPU/FIDESlib CKKS ciphertext–ciphertext SpMSpM with public sparse metadata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Extends the same static design space to GPU execution; a dynamic SpMV publication protocol is not described.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Rhombus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he2024rhombus">
              <w:r>
                <w:rPr>
                  <w:rStyle w:val="Hyperlink"/>
                </w:rPr>
                <w:t xml:space="preserve">He et al. 2024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Plaintext-matrix/encrypted-vector MVM with additive output shares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A different two-party PPML protocol; the random-share primitive is prior art, while versioned overlap binding is our narrower integration claim.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Damie et al.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6"/>
              </w:rPr>
              <w:t xml:space="preserve">(</w:t>
            </w:r>
            <w:hyperlink w:anchor="ref-damie2025secure">
              <w:r>
                <w:rPr>
                  <w:rStyle w:val="Hyperlink"/>
                </w:rPr>
                <w:t xml:space="preserve">Damie et al. 2025</w:t>
              </w:r>
            </w:hyperlink>
            <w:r>
              <w:rPr>
                <w:rFonts w:ascii="Calibri" w:hAnsi="Calibri" w:eastAsia="Calibri" w:cs="Calibri" w:hint="eastAsia"/>
                <w:sz w:val="16"/>
              </w:rPr>
              <w:t xml:space="preserve">)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Secret-shared sparse matrix multiplication in MPC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Not described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Shows secure sparse arithmetic outside FHE; incomparable without a common threat and cost model.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This work</w:t>
            </w:r>
          </w:p>
        </w:tc>
        <w:tc>
          <w:tcPr>
            <w:tcW w:w="22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Version-bound CSSC base plus designated maintenance components; formal evaluation stopped at qualification</w:t>
            </w:r>
          </w:p>
        </w:tc>
        <w:tc>
          <w:tcPr>
            <w:tcW w:w="280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Yes</w:t>
            </w:r>
          </w:p>
        </w:tc>
        <w:tc>
          <w:tcPr>
            <w:tcW w:w="2760" w:type="dxa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pStyle w:val="Compact"/>
              <w:spacing w:before="0" w:after="20" w:line="245" w:lineRule="auto"/>
              <w:jc w:val="left"/>
            </w:pPr>
            <w:r>
              <w:rPr>
                <w:rFonts w:ascii="Calibri" w:hAnsi="Calibri" w:eastAsia="Calibri" w:cs="Calibri" w:hint="eastAsia"/>
                <w:sz w:val="16"/>
              </w:rPr>
              <w:t xml:space="preserve">Studies publication, query recompilation, private reconstruction, and causal-cost contracts; claims no static-format, primitive, or comparative-performance novelty.</w:t>
            </w:r>
          </w:p>
        </w:tc>
      </w:tr>
    </w:tbl>
    <w:bookmarkEnd w:id="12"/>
    <w:bookmarkStart w:id="13" w:name="mutable-sparse-layouts"/>
    <w:p>
      <w:pPr>
        <w:pStyle w:val="Heading2"/>
      </w:pPr>
      <w:r>
        <w:rPr>
          <w:rFonts w:ascii="Calibri" w:hAnsi="Calibri" w:eastAsia="Calibri" w:cs="Calibri" w:hint="eastAsia"/>
        </w:rPr>
        <w:t xml:space="preserve">2.2 Mutable sparse layouts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Reserved slack, padding reuse, COO/HYB overflow, row-local growth, base/delta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organization, periodic compaction, and format selection all have substantial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plaintext sparse-matrix and storage-system precedent, including SELL-C-sigma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kreutzer2014sellcsigma">
        <w:r>
          <w:rPr>
            <w:rStyle w:val="Hyperlink"/>
          </w:rPr>
          <w:t xml:space="preserve">Kreutzer et al. 2014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GPU HYB/COO practice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bell2008spmvcuda">
        <w:r>
          <w:rPr>
            <w:rStyle w:val="Hyperlink"/>
          </w:rPr>
          <w:t xml:space="preserve">Bell and Garland 2008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LSM-trees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oneil1996lsm">
        <w:r>
          <w:rPr>
            <w:rStyle w:val="Hyperlink"/>
          </w:rPr>
          <w:t xml:space="preserve">O’Neil et al. 1996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Dynamic-CSR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king2016dynamiccsr">
        <w:r>
          <w:rPr>
            <w:rStyle w:val="Hyperlink"/>
          </w:rPr>
          <w:t xml:space="preserve">King et al. 2016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and dynamic format selection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stylianou2022morpheus">
        <w:r>
          <w:rPr>
            <w:rStyle w:val="Hyperlink"/>
          </w:rPr>
          <w:t xml:space="preserve">Stylianou and Weiland 2022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They are comparison families in this paper, not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independent novelty claims. Our narrower concern is their interaction with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encrypted query preparation, version consistency, private reconstruction,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complete cost accounting.</w:t>
      </w:r>
    </w:p>
    <w:bookmarkEnd w:id="13"/>
    <w:bookmarkStart w:id="14" w:name="X9b1768acbbaa41c0e82baa6538a32ffe9efe6af"/>
    <w:p>
      <w:pPr>
        <w:pStyle w:val="Heading2"/>
      </w:pPr>
      <w:r>
        <w:rPr>
          <w:rFonts w:ascii="Calibri" w:hAnsi="Calibri" w:eastAsia="Calibri" w:cs="Calibri" w:hint="eastAsia"/>
        </w:rPr>
        <w:t xml:space="preserve">2.3 Dynamic encrypted data systems and masking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Dynamic SSE, encrypted databases, ShieldDB, and oblivious transaction systems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already study updates, client state, epochs, padding, and leakage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cash2014dynamic">
        <w:r>
          <w:rPr>
            <w:rStyle w:val="Hyperlink"/>
          </w:rPr>
          <w:t xml:space="preserve">Cash et al. 2014</w:t>
        </w:r>
      </w:hyperlink>
      <w:r>
        <w:rPr>
          <w:rFonts w:ascii="Calibri" w:hAnsi="Calibri" w:eastAsia="Calibri" w:cs="Calibri" w:hint="eastAsia"/>
        </w:rPr>
        <w:t xml:space="preserve">;</w:t>
      </w:r>
      <w:r>
        <w:rPr>
          <w:rFonts w:ascii="Calibri" w:hAnsi="Calibri" w:eastAsia="Calibri" w:cs="Calibri" w:hint="eastAsia"/>
        </w:rPr>
        <w:t xml:space="preserve"> </w:t>
      </w:r>
      <w:hyperlink w:anchor="ref-vo2021shielddb">
        <w:r>
          <w:rPr>
            <w:rStyle w:val="Hyperlink"/>
          </w:rPr>
          <w:t xml:space="preserve">Vo et al. 2023</w:t>
        </w:r>
      </w:hyperlink>
      <w:r>
        <w:rPr>
          <w:rFonts w:ascii="Calibri" w:hAnsi="Calibri" w:eastAsia="Calibri" w:cs="Calibri" w:hint="eastAsia"/>
        </w:rPr>
        <w:t xml:space="preserve">;</w:t>
      </w:r>
      <w:r>
        <w:rPr>
          <w:rFonts w:ascii="Calibri" w:hAnsi="Calibri" w:eastAsia="Calibri" w:cs="Calibri" w:hint="eastAsia"/>
        </w:rPr>
        <w:t xml:space="preserve"> </w:t>
      </w:r>
      <w:hyperlink w:anchor="ref-crooks2018obladi">
        <w:r>
          <w:rPr>
            <w:rStyle w:val="Hyperlink"/>
          </w:rPr>
          <w:t xml:space="preserve">Crooks et al. 2018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They do not instantiate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same ciphertext–ciphertext CSSC query, but they prevent broad claims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batching or versioned updates are new. d-DSE directly shows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update-volume leakage remains a separate problem and that padding can impose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large storage and communication costs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liu2024ddse">
        <w:r>
          <w:rPr>
            <w:rStyle w:val="Hyperlink"/>
          </w:rPr>
          <w:t xml:space="preserve">Liu et al. 2024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CKKS-Auth Tree uses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versioned root commitments and timestamps to detect stale or replayed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verification objects after encrypted-metadata updates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chen2026ckksauthtree">
        <w:r>
          <w:rPr>
            <w:rStyle w:val="Hyperlink"/>
          </w:rPr>
          <w:t xml:space="preserve">Chen et al.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Neither work implements mutable SpMV, but together they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rule out novelty claims for volume hiding, versioned commitments, freshness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checks, or replay rejection in isolation. Fixed segments, dummy work,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visible schedules are therefore described through an explicit leakage surface,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as a generic update-leakage solution.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Canceling one-time masks also predate this work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bonawitz2017secureagg">
        <w:r>
          <w:rPr>
            <w:rStyle w:val="Hyperlink"/>
          </w:rPr>
          <w:t xml:space="preserve">Bonawitz et al. 2017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 We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therefore state the exact leakage and recipient roles and avoid the terms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simulation-secure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prevents leakage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without a separate proof. Authorized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homomorphic database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updates also predate this work and delimit any claim about encrypted mutability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parbat2023authorized">
        <w:r>
          <w:rPr>
            <w:rStyle w:val="Hyperlink"/>
          </w:rPr>
          <w:t xml:space="preserve">Parbat and Chatterjee 2023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</w:t>
      </w:r>
    </w:p>
    <w:bookmarkEnd w:id="14"/>
    <w:bookmarkEnd w:id="15"/>
    <w:bookmarkStart w:id="16" w:name="system-and-threat-model"/>
    <w:p>
      <w:pPr>
        <w:pStyle w:val="Heading1"/>
      </w:pPr>
      <w:r>
        <w:rPr>
          <w:rFonts w:ascii="Calibri" w:hAnsi="Calibri" w:eastAsia="Calibri" w:cs="Calibri" w:hint="eastAsia"/>
        </w:rPr>
        <w:t xml:space="preserve">3. System and Threat Model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system has Client A, which owns the mutable matrix, updates, CSSC metadata,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component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ColumnIndex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arrays and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RowMap</w:t>
      </w:r>
      <w:r>
        <w:rPr>
          <w:rFonts w:ascii="Calibri" w:hAnsi="Calibri" w:eastAsia="Calibri" w:cs="Calibri" w:hint="eastAsia"/>
        </w:rPr>
        <w:t xml:space="preserve">s, the complete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OutputPlan</w:t>
      </w:r>
      <w:r>
        <w:rPr>
          <w:rFonts w:ascii="Calibri" w:hAnsi="Calibri" w:eastAsia="Calibri" w:cs="Calibri" w:hint="eastAsia"/>
        </w:rPr>
        <w:t xml:space="preserve">, and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F1-M reservation/sampling ledger; Client B, which owns the query and secret key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receives the result; and a semi-honest Cloud evaluator. Client A and Client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 are both authorized to read the complete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RowMap</w:t>
      </w:r>
      <w:r>
        <w:rPr>
          <w:rFonts w:ascii="Calibri" w:hAnsi="Calibri" w:eastAsia="Calibri" w:cs="Calibri" w:hint="eastAsia"/>
        </w:rPr>
        <w:t xml:space="preserve">-sensitive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OutputPlan</w:t>
      </w:r>
      <w:r>
        <w:rPr>
          <w:rFonts w:ascii="Calibri" w:hAnsi="Calibri" w:eastAsia="Calibri" w:cs="Calibri" w:hint="eastAsia"/>
        </w:rPr>
        <w:t xml:space="preserve">;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private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means private from the Cloud, not private between the two clients.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Client A sends the versioned column metadata and complete plan to Client B,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samples and encrypts F1-M operands under Client B’s public key, and never sends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individual mask plaintexts to Client B. At most one party is corrupted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Cloud does not collude with either client. The model excludes malicious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behavior, adaptive corruption, availability, side-channel, traffic-analysis,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collusion claims.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Client B is authorized to learn the versioned global column indices, component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RowMap</w:t>
      </w:r>
      <w:r>
        <w:rPr>
          <w:rFonts w:ascii="Calibri" w:hAnsi="Calibri" w:eastAsia="Calibri" w:cs="Calibri" w:hint="eastAsia"/>
        </w:rPr>
        <w:t xml:space="preserve">s, complete reconstruction plan, and final result. The Cloud is authorized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to learn public parameters, ciphertext shapes and counts, public page/segment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shapes, the operation schedule, opaque identifiers, query/version identifiers,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plan digests. The interface classifies matrix/query plaintexts, global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column metadata, RowMaps, full plans, mask plaintexts, and unblinded component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outputs as forbidden-to-Cloud fields, and the typed serializers do not emit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them. This is an access-control and serialization requirement, not a proof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all leakage is prevented or that the implementation realizes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simulation-based notion.</w:t>
      </w:r>
    </w:p>
    <w:bookmarkEnd w:id="16"/>
    <w:bookmarkStart w:id="29" w:name="design"/>
    <w:p>
      <w:pPr>
        <w:pStyle w:val="Heading1"/>
      </w:pPr>
      <w:r>
        <w:rPr>
          <w:rFonts w:ascii="Calibri" w:hAnsi="Calibri" w:eastAsia="Calibri" w:cs="Calibri" w:hint="eastAsia"/>
        </w:rPr>
        <w:t xml:space="preserve">4. Design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Figure 1 shows the protocol boundary. Client A owns matrix publication,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complete plan and private metadata, constructs the version commit, and prepares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encrypted F1-M operands. Client B owns the query and key set, uses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version-matched column metadata to gather and encrypt query values, and uses its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copy of the complete plan to recover logical coordinates. The Cloud receives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only the typed public program, encrypted operands, and permitted identifiers.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diagram is an interface summary, not a claim that the listed metadata 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cryptographically hidden from every side channel.</w:t>
      </w:r>
    </w:p>
    <w:p>
      <w:pPr>
        <w:pStyle w:val="CaptionedFigure"/>
        <w:keepNext/>
        <w:jc w:val="center"/>
      </w:pPr>
      <w:r>
        <w:rPr>
          <w:rFonts w:ascii="Calibri" w:hAnsi="Calibri" w:eastAsia="Calibri" w:cs="Calibri" w:hint="eastAsia"/>
        </w:rPr>
        <w:drawing>
          <wp:inline>
            <wp:extent cx="5334000" cy="2895599"/>
            <wp:effectExtent b="0" l="0" r="0" t="0"/>
            <wp:docPr descr="Version-bound protocol flow: Client A owns matrix publication, metadata, the complete plan, and encrypted masks; Client B owns the query and key set, encrypts the gathered query, and reconstructs; the Cloud executes only the public program and encrypted operands." title="Figure 1" id="18" name="Picture"/>
            <a:graphic>
              <a:graphicData uri="http://schemas.openxmlformats.org/drawingml/2006/picture">
                <pic:pic>
                  <pic:nvPicPr>
                    <pic:cNvPr descr="assets/route-c-protocol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Calibri" w:cs="Calibri" w:hint="eastAsia"/>
        </w:rPr>
        <w:t xml:space="preserve">Figure 1. Version-bound mutable CSSC publication, execution, and private reconstruction.</w:t>
      </w:r>
    </w:p>
    <w:bookmarkStart w:id="20" w:name="publication-windows"/>
    <w:p>
      <w:pPr>
        <w:pStyle w:val="Heading2"/>
      </w:pPr>
      <w:r>
        <w:rPr>
          <w:rFonts w:ascii="Calibri" w:hAnsi="Calibri" w:eastAsia="Calibri" w:cs="Calibri" w:hint="eastAsia"/>
        </w:rPr>
        <w:t xml:space="preserve">4.1 Publication Windows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Updates accumulate until a query arrival, freshness deadline, microbatch bound,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 explicit publication event closes the current window. The transition first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applies every net update to a candidate logical state, validates matrix and value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bounds, constructs or patches physical components, decodes them back to the same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logical state, and only then publishes the next version. A failed transition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cannot partially advance the visible state.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 the publication experiment, accepted raw events form atomic scheduling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groups. All visible SET transitions are applied first, followed by a payload-free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logical clock TICK and then the group’s exactly scheduled queries. The TICK 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emitted even for clipped no-ops, so freshness advances without fabricating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update. Before a group at logical time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processed, any pending half-open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window whose deadline is at or before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closed; the deadline group therefore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belongs to the next window. No close may split the group’s SET→TICK→query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sequence. One deterministic bound-one ternary query vector is frozen per paired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trace unit and reused across candidates and cells. Its seed, generation method,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values are public, so it is a known-answer correctness/cost control rather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than evidence for a production-query distribution, cryptographic randomness, 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query-plaintext confidentiality.</w:t>
      </w:r>
    </w:p>
    <w:bookmarkEnd w:id="20"/>
    <w:bookmarkStart w:id="21" w:name="versioned-query-reorganization"/>
    <w:p>
      <w:pPr>
        <w:pStyle w:val="Heading2"/>
      </w:pPr>
      <w:r>
        <w:rPr>
          <w:rFonts w:ascii="Calibri" w:hAnsi="Calibri" w:eastAsia="Calibri" w:cs="Calibri" w:hint="eastAsia"/>
        </w:rPr>
        <w:t xml:space="preserve">4.2 Versioned query reorganization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Each CSSC value lane is paired with a parallel original matrix-column identifier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 a padding sentinel. Client A sends versioned plaintext column metadata to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Client B. Client B gathers one aligned vector per encrypted value chunk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encrypts it.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matrix column domain is independent of the ciphertext-slot domain; reducing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global column identifier modulo the slot count changes the function and 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forbidden.</w:t>
      </w:r>
    </w:p>
    <w:bookmarkEnd w:id="21"/>
    <w:bookmarkStart w:id="22" w:name="outputplan-and-f1-m"/>
    <w:p>
      <w:pPr>
        <w:pStyle w:val="Heading2"/>
      </w:pPr>
      <w:r>
        <w:rPr>
          <w:rFonts w:ascii="Calibri" w:hAnsi="Calibri" w:eastAsia="Calibri" w:cs="Calibri" w:hint="eastAsia"/>
        </w:rPr>
        <w:t xml:space="preserve">4.3 OutputPlan and F1-M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plan maps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(component, output block, physical lane)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to a logical output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coordinate. Client B initializes the public-length result to zero, reorders each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decrypted share, sums only equal logical coordinates, and concatenates disjoint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horizontal blocks. A coordinate with no physical contributor is an implicit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 contributor multiplicity greater than one, Client A samples a modular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zero-sum mask tuple. The binding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(query, version, plan digest, component, output block)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reserved in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durable SQLite ledger before sampling. Duplicate use is rejected within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ledger model. Repository rollback, database cloning or compromise,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cross-device coordination are outside the present evidence. A disjoint strong-path return uses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encrypted-zero dummy to retain a uniform visible operation position; it is not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random mask and is accounted separately.</w:t>
      </w:r>
    </w:p>
    <w:bookmarkEnd w:id="22"/>
    <w:bookmarkStart w:id="23" w:name="strong-fixed-segment-delta"/>
    <w:p>
      <w:pPr>
        <w:pStyle w:val="Heading2"/>
      </w:pPr>
      <w:r>
        <w:rPr>
          <w:rFonts w:ascii="Calibri" w:hAnsi="Calibri" w:eastAsia="Calibri" w:cs="Calibri" w:hint="eastAsia"/>
        </w:rPr>
        <w:t xml:space="preserve">4.4 Strong fixed-segment delta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strong path retains a real CSSC base and places overflow into fixed-width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power-of-two segments, currently frozen to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c=128</w:t>
      </w:r>
      <w:r>
        <w:rPr>
          <w:rFonts w:ascii="Calibri" w:hAnsi="Calibri" w:eastAsia="Calibri" w:cs="Calibri" w:hint="eastAsia"/>
        </w:rPr>
        <w:t xml:space="preserve">. A segment contains entries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from one logical row. The public typed plan uses uniform shapes and opaque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ordinal IDs, while the Cloud-visible leakage also includes published counts,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schedule and timing, query/version identifiers, and binding digests. We do not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claim segment unlinkability.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Cloud multiplies aligned value/query ciphertexts, applies the fixed reduction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schedule, selects segment leaders, adds one F1-M operand per return, and returns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page shares. Client B uses the private plan to merge leaders that map to the same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logical row.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current policy does not authorize cloud-side merging of segments that share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 logical row. Same-row-equivalence fields are carried only in Client B’s typed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plan; this is an interface access-control requirement, not a proof that segment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relationships cannot be inferred. The publication identity for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folding/compaction is frozen separately; changing it creates a different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candidate.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segment width 128 is fixed before real-stream evaluation rather than tuned: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it yields a seven-stage power-of-two reduction, places 32 complete segments in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4,096-lane effective domain, and is the exact 127-active-plus-one-padding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boundary covered by the pinned witness. We make no optimality 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cross-segment-width claim.</w:t>
      </w:r>
    </w:p>
    <w:bookmarkEnd w:id="23"/>
    <w:bookmarkStart w:id="28" w:name="definition-level-functional-propositions"/>
    <w:p>
      <w:pPr>
        <w:pStyle w:val="Heading2"/>
      </w:pPr>
      <w:r>
        <w:rPr>
          <w:rFonts w:ascii="Calibri" w:hAnsi="Calibri" w:eastAsia="Calibri" w:cs="Calibri" w:hint="eastAsia"/>
        </w:rPr>
        <w:t xml:space="preserve">4.5 Definition-level functional propositions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following statements are conditional functional propositions about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frozen typed interfaces and algorithms. They are not empirical conclusions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a malicious- or simulation-security theorem. The exact-S1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source-conformance record maps every premise below to the corresponding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validator, state transition, reconstruction routine, or ledger transition;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registered tests exercise legal cases and substitutions but do not replace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proof arguments.</w:t>
      </w:r>
    </w:p>
    <w:bookmarkStart w:id="24" w:name="p1-binding-soundness"/>
    <w:p>
      <w:pPr>
        <w:pStyle w:val="Heading3"/>
      </w:pPr>
      <w:r>
        <w:rPr>
          <w:rFonts w:ascii="Calibri" w:hAnsi="Calibri" w:eastAsia="Calibri" w:cs="Calibri" w:hint="eastAsia"/>
        </w:rPr>
        <w:t xml:space="preserve">P1: binding soundness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For publication version</w:t>
      </w:r>
      <w:r>
        <w:rPr>
          <w:rFonts w:ascii="Calibri" w:hAnsi="Calibri" w:eastAsia="Calibri" w:cs="Calibri" w:hint="eastAsia"/>
        </w:rPr>
        <w:t xml:space="preserve"> </w:t>
      </w:r>
      <m:oMath>
        <m:r>
          <m:t>v</m:t>
        </m:r>
      </m:oMath>
      <w:r>
        <w:rPr>
          <w:rFonts w:ascii="Calibri" w:hAnsi="Calibri" w:eastAsia="Calibri" w:cs="Calibri" w:hint="eastAsia"/>
        </w:rP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P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C</m:t>
              </m:r>
              <m:sSubSup>
                <m:e>
                  <m: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R</m:t>
              </m:r>
              <m:sSubSup>
                <m:e>
                  <m:r>
                    <m:t>M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sup>
              </m:sSubSup>
              <m:r>
                <m:rPr>
                  <m:sty m:val="p"/>
                </m:rPr>
                <m:t>,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where</w:t>
      </w:r>
      <w:r>
        <w:rPr>
          <w:rFonts w:ascii="Calibri" w:hAnsi="Calibri" w:eastAsia="Calibri" w:cs="Calibri" w:hint="eastAsia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canonical logical-state identity binding the logical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matrix</w:t>
      </w:r>
      <w:r>
        <w:rPr>
          <w:rFonts w:ascii="Calibri" w:hAnsi="Calibri" w:eastAsia="Calibri" w:cs="Calibri" w:hint="eastAsia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are ordered physical components,</w:t>
      </w:r>
      <w:r>
        <w:rPr>
          <w:rFonts w:ascii="Calibri" w:hAnsi="Calibri" w:eastAsia="Calibri" w:cs="Calibri" w:hint="eastAsia"/>
        </w:rPr>
        <w:t xml:space="preserve"> </w:t>
      </w:r>
      <m:oMath>
        <m:r>
          <m:t>C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are their global-column and row mappings,</w:t>
      </w:r>
      <w:r>
        <w:rPr>
          <w:rFonts w:ascii="Calibri" w:hAnsi="Calibri" w:eastAsia="Calibri" w:cs="Calibri" w:hint="eastAsia"/>
        </w:rPr>
        <w:t xml:space="preserve"> </w:t>
      </w:r>
      <m:oMath>
        <m:r>
          <m:t>O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private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OutputPlan,</w:t>
      </w:r>
      <w:r>
        <w:rPr>
          <w:rFonts w:ascii="Calibri" w:hAnsi="Calibri" w:eastAsia="Calibri" w:cs="Calibri" w:hint="eastAsia"/>
        </w:rPr>
        <w:t xml:space="preserve"> </w:t>
      </w:r>
      <m:oMath>
        <m:r>
          <m:t>Q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prepared-query binding, and</w:t>
      </w:r>
      <w:r>
        <w:rPr>
          <w:rFonts w:ascii="Calibri" w:hAnsi="Calibri" w:eastAsia="Calibri" w:cs="Calibri" w:hint="eastAsia"/>
        </w:rPr>
        <w:t xml:space="preserve"> </w:t>
      </w:r>
      <m:oMath>
        <m:r>
          <m:t>B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immutable typed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identity and digest bundle. Let</w:t>
      </w:r>
      <w:r>
        <w:rPr>
          <w:rFonts w:ascii="Calibri" w:hAnsi="Calibri" w:eastAsia="Calibri" w:cs="Calibri" w:hint="eastAsia"/>
        </w:rP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 the authoritative binding for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query</w:t>
      </w:r>
      <w:r>
        <w:rPr>
          <w:rFonts w:ascii="Calibri" w:hAnsi="Calibri" w:eastAsia="Calibri" w:cs="Calibri" w:hint="eastAsia"/>
        </w:rPr>
        <w:t xml:space="preserve"> </w:t>
      </w:r>
      <m:oMath>
        <m:r>
          <m:t>q</m:t>
        </m:r>
      </m:oMath>
      <w:r>
        <w:rPr>
          <w:rFonts w:ascii="Calibri" w:hAnsi="Calibri" w:eastAsia="Calibri" w:cs="Calibri" w:hint="eastAsia"/>
        </w:rPr>
        <w:t xml:space="preserve">. The registered acceptance predicate has the shape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Accept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⋀</m:t>
              </m:r>
            </m:e>
            <m:lim>
              <m:r>
                <m:t>f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F</m:t>
              </m:r>
            </m:lim>
          </m:limLow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∧</m:t>
          </m:r>
          <m:r>
            <m:t>​</m:t>
          </m:r>
          <m:limLow>
            <m:e>
              <m:r>
                <m:rPr>
                  <m:sty m:val="p"/>
                </m:rPr>
                <m:t>⋀</m:t>
              </m:r>
            </m:e>
            <m:lim>
              <m:r>
                <m:t>o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O</m:t>
              </m:r>
            </m:lim>
          </m:limLow>
          <m:r>
            <m:rPr>
              <m:sty m:val="p"/>
            </m:rPr>
            <m:t>[</m:t>
          </m:r>
          <m:r>
            <m:rPr>
              <m:sty m:val="p"/>
            </m:rPr>
            <m:t>SHA256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bytes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where</w:t>
      </w:r>
      <w:r>
        <w:rPr>
          <w:rFonts w:ascii="Calibri" w:hAnsi="Calibri" w:eastAsia="Calibri" w:cs="Calibri" w:hint="eastAsia"/>
        </w:rPr>
        <w:t xml:space="preserve"> </w:t>
      </w:r>
      <m:oMath>
        <m:r>
          <m:rPr>
            <m:scr m:val="script"/>
            <m:sty m:val="p"/>
          </m:rPr>
          <m:t>F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enumerates every typed version, query, component, mapping,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plan, parameter, and execution identity, and</w:t>
      </w:r>
      <w:r>
        <w:rPr>
          <w:rFonts w:ascii="Calibri" w:hAnsi="Calibri" w:eastAsia="Calibri" w:cs="Calibri" w:hint="eastAsia"/>
        </w:rPr>
        <w:t xml:space="preserve"> </w:t>
      </w:r>
      <m:oMath>
        <m:r>
          <m:rPr>
            <m:scr m:val="script"/>
            <m:sty m:val="p"/>
          </m:rPr>
          <m:t>O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enumerates every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retained canonical byte object. Hence acceptance implies equality for every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enumerated field and rehashed object. The capability and formal-artifact paths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are downstream of this conjunction, so a failed conjunct cannot mint them.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proof is a case analysis over the closed predicate: each field class occurs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as a necessary conjunct, retained bytes are rehashed inside the private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admission process, and no earlier branch reaches the issuer. This establishes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functional binding property for ordinary inputs and malformed/stale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substitutions. It says nothing about deliberate SHA-256 collisions, compromised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hosts, or side channels.</w:t>
      </w:r>
    </w:p>
    <w:bookmarkEnd w:id="24"/>
    <w:bookmarkStart w:id="25" w:name="p2-multi-component-reconstruction"/>
    <w:p>
      <w:pPr>
        <w:pStyle w:val="Heading3"/>
      </w:pPr>
      <w:r>
        <w:rPr>
          <w:rFonts w:ascii="Calibri" w:hAnsi="Calibri" w:eastAsia="Calibri" w:cs="Calibri" w:hint="eastAsia"/>
        </w:rPr>
        <w:t xml:space="preserve">P2: multi-component reconstruction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Let</w:t>
      </w:r>
      <w:r>
        <w:rPr>
          <w:rFonts w:ascii="Calibri" w:hAnsi="Calibri" w:eastAsia="Calibri" w:cs="Calibri" w:hint="eastAsia"/>
        </w:rP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 the physical-output-row by global-logical-column matrix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represented by component</w:t>
      </w:r>
      <w:r>
        <w:rPr>
          <w:rFonts w:ascii="Calibri" w:hAnsi="Calibri" w:eastAsia="Calibri" w:cs="Calibri" w:hint="eastAsia"/>
        </w:rPr>
        <w:t xml:space="preserve"> </w:t>
      </w:r>
      <m:oMath>
        <m:r>
          <m:t>k</m:t>
        </m:r>
      </m:oMath>
      <w:r>
        <w:rPr>
          <w:rFonts w:ascii="Calibri" w:hAnsi="Calibri" w:eastAsia="Calibri" w:cs="Calibri" w:hint="eastAsia"/>
        </w:rPr>
        <w:t xml:space="preserve">, and let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embed its declared physical output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rows into the logical matrix domain. The admitted decomposition is complete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sup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Assume each component execution decrypts to</w:t>
      </w:r>
      <w:r>
        <w:rPr>
          <w:rFonts w:ascii="Calibri" w:hAnsi="Calibri" w:eastAsia="Calibri" w:cs="Calibri" w:hint="eastAsia"/>
        </w:rP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  <m:r>
          <m:t>x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 its declared lanes,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every lane has exactly its declared logical coordinate, the OutputPlan is total,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P3 masks cancel. For logical row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</m:oMath>
      <w:r>
        <w:rPr>
          <w:rFonts w:ascii="Calibri" w:hAnsi="Calibri" w:eastAsia="Calibri" w:cs="Calibri" w:hint="eastAsia"/>
        </w:rPr>
        <w:t xml:space="preserve">, the reconstruction operator sums all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contributors mapped to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</m:oMath>
      <w:r>
        <w:rPr>
          <w:rFonts w:ascii="Calibri" w:hAnsi="Calibri" w:eastAsia="Calibri" w:cs="Calibri" w:hint="eastAsia"/>
        </w:rPr>
        <w:t xml:space="preserve">, places disjoint blocks in logical order, and uses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 when the contributor set is empty.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t>​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t>x</m:t>
                  </m:r>
                  <m:sSubSup>
                    <m:e>
                      <m:r>
                        <m:rPr>
                          <m:sty m:val="p"/>
                        </m:rPr>
                        <m:t>}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sup>
                  </m:sSubSup>
                </m:e>
              </m:d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sup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</m:e>
                  </m:d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By completeness of the admitted decomposition,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sup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</m:e>
                  </m:d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x</m:t>
                  </m:r>
                </m:e>
              </m:d>
            </m:e>
            <m:sub>
              <m:r>
                <m:t>r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equality is coordinatewise: overlap is ordinary addition in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t</m:t>
            </m:r>
          </m:sub>
        </m:sSub>
      </m:oMath>
      <w:r>
        <w:rPr>
          <w:rFonts w:ascii="Calibri" w:hAnsi="Calibri" w:eastAsia="Calibri" w:cs="Calibri" w:hint="eastAsia"/>
        </w:rPr>
        <w:t xml:space="preserve">, disjoint blocks have disjoint images under the embeddings,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 unmaterialized row contributes the additive identity. It holds for any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admitted number of components under the stated completeness and totality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premises; the finite tests only check the implementation of those premises.</w:t>
      </w:r>
    </w:p>
    <w:bookmarkEnd w:id="25"/>
    <w:bookmarkStart w:id="26" w:name="X417749485cd3f5e178769b401ec7aca9aeecad6"/>
    <w:p>
      <w:pPr>
        <w:pStyle w:val="Heading3"/>
      </w:pPr>
      <w:r>
        <w:rPr>
          <w:rFonts w:ascii="Calibri" w:hAnsi="Calibri" w:eastAsia="Calibri" w:cs="Calibri" w:hint="eastAsia"/>
        </w:rPr>
        <w:t xml:space="preserve">P3: mask cancellation and ledger-scoped no-reuse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For an overlap group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 canonical contributor order with</w:t>
      </w:r>
      <w:r>
        <w:rPr>
          <w:rFonts w:ascii="Calibri" w:hAnsi="Calibri" w:eastAsia="Calibri" w:cs="Calibri" w:hint="eastAsia"/>
        </w:rPr>
        <w:t xml:space="preserve"> </w:t>
      </w:r>
      <m:oMath>
        <m:r>
          <m:t>g</m:t>
        </m:r>
        <m:r>
          <m:rPr>
            <m:sty m:val="p"/>
          </m:rPr>
          <m:t>≥</m:t>
        </m:r>
        <m:r>
          <m:t>2</m:t>
        </m:r>
      </m:oMath>
      <w:r>
        <w:rPr>
          <w:rFonts w:ascii="Calibri" w:hAnsi="Calibri" w:eastAsia="Calibri" w:cs="Calibri" w:hint="eastAsia"/>
        </w:rPr>
        <w:t xml:space="preserve">, Client A samples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.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Thus</w:t>
      </w:r>
      <w:r>
        <w:rPr>
          <w:rFonts w:ascii="Calibri" w:hAnsi="Calibri" w:eastAsia="Calibri" w:cs="Calibri" w:hint="eastAsia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sSub>
              <m:e>
                <m:r>
                  <m:t>G</m:t>
                </m:r>
              </m:e>
              <m:sub>
                <m:r>
                  <m:t>r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t</m:t>
        </m:r>
        <m:r>
          <m:rPr>
            <m:sty m:val="p"/>
          </m:rPr>
          <m:t>)</m:t>
        </m:r>
      </m:oMath>
      <w:r>
        <w:rPr>
          <w:rFonts w:ascii="Calibri" w:hAnsi="Calibri" w:eastAsia="Calibri" w:cs="Calibri" w:hint="eastAsia"/>
        </w:rPr>
        <w:t xml:space="preserve">, and P2 reconstruction removes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random operands without changing the logical output coordinate. Groups of size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 or one receive no random tuple; an encrypted-zero dummy is a separate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accounted object.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 no-reuse, the durable state machine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sans-serif"/>
              <m:sty m:val="p"/>
            </m:rPr>
            <m:t>unseen</m:t>
          </m:r>
          <m:r>
            <m:rPr>
              <m:sty m:val="p"/>
            </m:rPr>
            <m:t>→</m:t>
          </m:r>
          <m:r>
            <m:rPr>
              <m:nor/>
              <m:scr m:val="sans-serif"/>
              <m:sty m:val="p"/>
            </m:rPr>
            <m:t>reserved</m:t>
          </m:r>
          <m:r>
            <m:rPr>
              <m:sty m:val="p"/>
            </m:rPr>
            <m:t>→</m:t>
          </m:r>
          <m:r>
            <m:rPr>
              <m:nor/>
              <m:scr m:val="sans-serif"/>
              <m:sty m:val="p"/>
            </m:rPr>
            <m:t>prepared</m:t>
          </m:r>
          <m:r>
            <m:rPr>
              <m:sty m:val="p"/>
            </m:rPr>
            <m:t>→</m:t>
          </m:r>
          <m:r>
            <m:rPr>
              <m:nor/>
              <m:scr m:val="sans-serif"/>
              <m:sty m:val="p"/>
            </m:rPr>
            <m:t>consumed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One transaction reserves every five-field key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(query, version, plan digest, component, output block)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before the first random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sample. A prepared batch additionally binds the private plan, execution binding,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modulus, operand commitments, and a unique token; verification consumes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token atomically. Uniqueness constraints plus exact terminal closure reject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duplicate key or token, commitment drift, orphan record, or second consumption.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evaluation-lane digest includes the unit-attempt ordinal, so the single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provider-replacement allowance cannot reuse the same reservation identity. This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an invariant of one uncompromised durable SQLite ledger, not a rollback,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cloning, compromise, or cross-device guarantee.</w:t>
      </w:r>
    </w:p>
    <w:bookmarkEnd w:id="26"/>
    <w:bookmarkStart w:id="27" w:name="p4-fixed-segment-reconstruction"/>
    <w:p>
      <w:pPr>
        <w:pStyle w:val="Heading3"/>
      </w:pPr>
      <w:r>
        <w:rPr>
          <w:rFonts w:ascii="Calibri" w:hAnsi="Calibri" w:eastAsia="Calibri" w:cs="Calibri" w:hint="eastAsia"/>
        </w:rPr>
        <w:t xml:space="preserve">P4: fixed-segment reconstruction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For a logical row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</m:oMath>
      <w:r>
        <w:rPr>
          <w:rFonts w:ascii="Calibri" w:hAnsi="Calibri" w:eastAsia="Calibri" w:cs="Calibri" w:hint="eastAsia"/>
        </w:rPr>
        <w:t xml:space="preserve">, partition its auxiliary post-multiplication lane values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 canonical entry order into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segments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J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of</w:t>
      </w:r>
      <w:r>
        <w:rPr>
          <w:rFonts w:ascii="Calibri" w:hAnsi="Calibri" w:eastAsia="Calibri" w:cs="Calibri" w:hint="eastAsia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128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lanes, so every populated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[</m:t>
        </m:r>
        <m:r>
          <m:t>ℓ</m:t>
        </m:r>
        <m:r>
          <m:rPr>
            <m:sty m:val="p"/>
          </m:rPr>
          <m:t>]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one such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value, and pad only the final unused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suffix with zeros. The seven-stage public reduction places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127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ℓ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in the predetermined leader lane. The private OutputPlan maps every leader back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to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</m:oMath>
      <w:r>
        <w:rPr>
          <w:rFonts w:ascii="Calibri" w:hAnsi="Calibri" w:eastAsia="Calibri" w:cs="Calibri" w:hint="eastAsia"/>
        </w:rPr>
        <w:t xml:space="preserve">, so Client B obtains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J</m:t>
                  </m:r>
                </m:e>
                <m:sub>
                  <m:r>
                    <m:t>r</m:t>
                  </m:r>
                </m:sub>
              </m:sSub>
            </m:sup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J</m:t>
                  </m:r>
                </m:e>
                <m:sub>
                  <m:r>
                    <m:t>r</m:t>
                  </m:r>
                </m:sub>
              </m:sSub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127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[</m:t>
          </m:r>
          <m:r>
            <m:t>ℓ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which is exactly the auxiliary contribution to row</w:t>
      </w:r>
      <w:r>
        <w:rPr>
          <w:rFonts w:ascii="Calibri" w:hAnsi="Calibri" w:eastAsia="Calibri" w:cs="Calibri" w:hint="eastAsia"/>
        </w:rPr>
        <w:t xml:space="preserve"> </w:t>
      </w:r>
      <m:oMath>
        <m:r>
          <m:t>r</m:t>
        </m:r>
      </m:oMath>
      <w:r>
        <w:rPr>
          <w:rFonts w:ascii="Calibri" w:hAnsi="Calibri" w:eastAsia="Calibri" w:cs="Calibri" w:hint="eastAsia"/>
        </w:rPr>
        <w:t xml:space="preserve">; adding the CSSC-base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contribution and applying P2 gives the direct logical product. The proof is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induction on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</m:oMath>
      <w:r>
        <w:rPr>
          <w:rFonts w:ascii="Calibri" w:hAnsi="Calibri" w:eastAsia="Calibri" w:cs="Calibri" w:hint="eastAsia"/>
        </w:rPr>
        <w:t xml:space="preserve">: one segment is the fixed reduction identity, and appending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row-owned segment adds exactly its leader sum without changing prior leaders.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127/128/129, tombstone, padding, disjoint, and overlap cases are boundary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tests of this construction, not its general proof and not evidence that 128 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 optimal width.</w:t>
      </w:r>
    </w:p>
    <w:bookmarkEnd w:id="27"/>
    <w:bookmarkEnd w:id="28"/>
    <w:bookmarkEnd w:id="29"/>
    <w:bookmarkStart w:id="30" w:name="implementation-and-evidence"/>
    <w:p>
      <w:pPr>
        <w:pStyle w:val="Heading1"/>
      </w:pPr>
      <w:r>
        <w:rPr>
          <w:rFonts w:ascii="Calibri" w:hAnsi="Calibri" w:eastAsia="Calibri" w:cs="Calibri" w:hint="eastAsia"/>
        </w:rPr>
        <w:t xml:space="preserve">5. Implementation and Evidence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At historical baseline commit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fcb00e0d</w:t>
      </w:r>
      <w:r>
        <w:rPr>
          <w:rFonts w:ascii="Calibri" w:hAnsi="Calibri" w:eastAsia="Calibri" w:cs="Calibri" w:hint="eastAsia"/>
        </w:rPr>
        <w:t xml:space="preserve">, the Python implementation supplied typed persistent states, a common query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compiler, exact operation graphs, private operand/route bindings, a plaintext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oracle, SQLite no-reuse commitments, canonical artifacts, and a separate deterministic replay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validator. The encrypted path uses BFV-family batching, whose original scheme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lineage is Fan–Vercauteren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fan2012somewhat">
        <w:r>
          <w:rPr>
            <w:rStyle w:val="Hyperlink"/>
          </w:rPr>
          <w:t xml:space="preserve">Fan and Vercauteren 2012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, through OpenFHE 1.5.1 pinned by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 commit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openfhe151">
        <w:r>
          <w:rPr>
            <w:rStyle w:val="Hyperlink"/>
          </w:rPr>
          <w:t xml:space="preserve">OpenFHE Development Team 2026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At that historical baseline, R0 passed 750 tests and the Phase 2 whole-query witness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passed in run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32581653504</w:t>
      </w:r>
      <w:r>
        <w:rPr>
          <w:rFonts w:ascii="Calibri" w:hAnsi="Calibri" w:eastAsia="Calibri" w:cs="Calibri" w:hint="eastAsia"/>
        </w:rPr>
        <w:t xml:space="preserve">. The witness exercises a 4096-by-8193 fixture,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global-column anti-aliasing, the 127-of-128 segment boundary, the unused second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BFV batching row, explicit no-relinearize/relinearize transitions, random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dummy F1-M operands, and equality with both typed and direct plaintext oracles.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Its GitHub Actions artifact-wrapper SHA-256 digest is recorded in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version-bound claim-ledger supplement (</w:t>
      </w:r>
      <w:r>
        <w:rPr>
          <w:rStyle w:val="VerbatimChar"/>
          <w:rFonts w:ascii="Calibri" w:hAnsi="Calibri" w:eastAsia="Calibri" w:cs="Calibri" w:hint="eastAsia"/>
        </w:rPr>
        <w:t xml:space="preserve">c5f44b0c…4711afe</w:t>
      </w:r>
      <w:r>
        <w:rPr>
          <w:rFonts w:ascii="Calibri" w:hAnsi="Calibri" w:eastAsia="Calibri" w:cs="Calibri" w:hint="eastAsia"/>
        </w:rPr>
        <w:t xml:space="preserve">).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This evidence is deliberately narrow. It does not establish complete candidate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costs, candidate registration, mixed-circuit parameter safety, security,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performance, or an end-to-end deployment.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Table 2. Definition-level obligations and their Route C disposition.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BD3DC"/>
          <w:left w:val="single" w:sz="4" w:space="0" w:color="CBD3DC"/>
          <w:bottom w:val="single" w:sz="4" w:space="0" w:color="CBD3DC"/>
          <w:right w:val="single" w:sz="4" w:space="0" w:color="CBD3DC"/>
          <w:insideH w:val="single" w:sz="4" w:space="0" w:color="CBD3DC"/>
          <w:insideV w:val="single" w:sz="4" w:space="0" w:color="CBD3DC"/>
        </w:tblBorders>
      </w:tblPr>
      <w:tblGrid>
        <w:gridCol w:w="2050"/>
        <w:gridCol w:w="3110"/>
        <w:gridCol w:w="4200"/>
      </w:tblGrid>
      <w:tr>
        <w:trPr>
          <w:tblHeader w:val="1"/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Obligation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Frozen implementation and review boundary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Claim permitted in this manuscript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P1: exact binding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Typed version/query/plan/payload identities, fresh byte rehashing, independent replay, and source-conformance mapping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Conditional binding proposition and fail-closed interface design; no end-to-end admission claim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P2: multi-component reconstruction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Private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OutputPlan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 direct plaintext oracle, overlap/concatenation/implicit-zero checks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Definition-level reconstruction proof under the admitted-plan premises; no formal-run result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P3: F1-M cancellation and no-reuse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Modular cancellation proof plus durable reserve-before-sample SQLite state machine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Cancellation and ledger-local invariant only; no simulation-security, rollback, cloning, or cross-device claim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P4: fixed 128-lane segment path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Seven-stage reduction proof and 127/128/129 boundary tests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Correctness proposition for the frozen segment construction; no optimal-width or performance claim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Evidence release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S1/S2 Behavior Sets, independent guards, terminal controller, and exact object-count contract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Engineering/source conformance and the Route C stop decision only; no strategy-cost evidence</w:t>
            </w:r>
          </w:p>
        </w:tc>
      </w:tr>
    </w:tbl>
    <w:p>
      <w:pPr>
        <w:pStyle w:val="BodyText"/>
        <w:spacing w:before="160"/>
      </w:pPr>
      <w:r>
        <w:rPr>
          <w:rFonts w:ascii="Calibri" w:hAnsi="Calibri" w:eastAsia="Calibri" w:cs="Calibri" w:hint="eastAsia"/>
        </w:rPr>
        <w:t xml:space="preserve">The Route A engineering line retains those boundaries while adding a closed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qualification and evidence path. A six-job, permanently non-admissible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qualification first exercises a synthetic producer/replay pair, then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case-shaped native producer with one discarded warm-up and three fresh-key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recorded lanes, exact package replay with zero key generation and zero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encryption, a cross-domain combined guard, and a post-run resource record. Its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artifacts have one-day retention, carry no publication authority, and can never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enter the paper’s formal result set. An external controller enforces the frozen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computational and end-to-end deadlines and can only return a non-serializable,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short-lived dispatch capability after a fresh provider reread.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Formal execution was specified as a separate strictly serial campaign,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conditional on qualification success. Every unit would have had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experiment-source checkout, producer,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one-day non-evidence handoff, independent replay, guard, and formal artifact.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terminal validator admits exactly one acquisition artifact, six synthetic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artifacts, four ordered-event artifacts, and six native artifacts before one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aggregate and a compatible detached analysis snapshot may be created. A clean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 snapshot, a data-only registration snapshot, and an analysis snapshot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may have different commit identifiers only when a repository-owned closed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Behavior Set and compatibility receipt prove that every behavior-bearing blob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remains identical where required. The qualification did not succeed, so none of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these formal units or downstream objects was created.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Historical exact-head CI and real-runner smokes are useful engineering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observations, but they do not transfer across behavior changes. The final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reviewed tree was merged as Experiment Source Snapshot S1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ee58627bb5752c6ac1ee2c5132c6574f9cb66552</w:t>
      </w:r>
      <w:r>
        <w:rPr>
          <w:rFonts w:ascii="Calibri" w:hAnsi="Calibri" w:eastAsia="Calibri" w:cs="Calibri" w:hint="eastAsia"/>
        </w:rPr>
        <w:t xml:space="preserve">; exact-main CI and PRE-S1 passed.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 descriptive registration was then installed as the only data change in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Evidence-Freeze Snapshot S2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c7ff6820d9323f1850c1c5c57fd9070db88db120</w:t>
      </w:r>
      <w:r>
        <w:rPr>
          <w:rFonts w:ascii="Calibri" w:hAnsi="Calibri" w:eastAsia="Calibri" w:cs="Calibri" w:hint="eastAsia"/>
        </w:rPr>
        <w:t xml:space="preserve">, whose CI and closed-Behavior-Set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compatibility checks passed. The sole qualification subsequently selected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Route C, so the formal campaign, terminal admission, aggregate, and analysis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chain were deliberately not run. No statement in this section is empirical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evidence for a maintenance strategy.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A later, separately preregistered follow-up repaired a pre-dispatch capability-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lease defect without changing the estimand, resource thresholds, or scientific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matrix. Its replacement experiment source S1 was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f8d89d6f98f289dc2e0c3414f7b4ed59b5d30f52</w:t>
      </w:r>
      <w:r>
        <w:rPr>
          <w:rFonts w:ascii="Calibri" w:hAnsi="Calibri" w:eastAsia="Calibri" w:cs="Calibri" w:hint="eastAsia"/>
        </w:rPr>
        <w:t xml:space="preserve">, and its direct-child, data-only S2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was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e1e488f177dc8a469c6132a29537b041fbf1430b</w:t>
      </w:r>
      <w:r>
        <w:rPr>
          <w:rFonts w:ascii="Calibri" w:hAnsi="Calibri" w:eastAsia="Calibri" w:cs="Calibri" w:hint="eastAsia"/>
        </w:rPr>
        <w:t xml:space="preserve">. Exact-head CI, PRE-S1,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descriptive registration, source-anchor, and independent-review controls all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passed at exact S2 with authority false. The sole subsequent qualification run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was cancelled before checkout or seed admission when the controller could not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install its watcher-admission binding. It produced zero artifacts and no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scientific observation. The frozen one-shot rule therefore closed the follow-up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as terminal NO-GO and barred a repaired-lineage rerun.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Generative-AI systems assisted literature discovery, code and test generation,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adversarial review, and drafting during development. Their outputs are neither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 authority nor experimental evidence. Human authors must independently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verify cited primary sources, inspect the final code, reproduce the admitted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artifacts, and accept responsibility for every claim and released result.</w:t>
      </w:r>
    </w:p>
    <w:bookmarkEnd w:id="30"/>
    <w:bookmarkStart w:id="37" w:name="evaluation-methodology"/>
    <w:p>
      <w:pPr>
        <w:pStyle w:val="Heading1"/>
      </w:pPr>
      <w:r>
        <w:rPr>
          <w:rFonts w:ascii="Calibri" w:hAnsi="Calibri" w:eastAsia="Calibri" w:cs="Calibri" w:hint="eastAsia"/>
        </w:rPr>
        <w:t xml:space="preserve">6. Evaluation Methodology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Sections 6.1–6.6 preserve the frozen counterfactual execution and reporting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protocol. Because neither qualification path produced a GO, none of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acquisitions, formal cells, native cases, measurements, or reports specified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below occurred. The protocol was frozen before any formal artifact could be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inspected. It specified no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trained selector, winner chosen on a tuning prefix, or held-out oracle. Every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strategy would have owned an independent persistent state and consumed the same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ordered event groups, publication boundaries, queries, initial logical matrix,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public parameters. The intended intervention was therefore the maintenance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mechanism, not the workload history.</w:t>
      </w:r>
    </w:p>
    <w:bookmarkStart w:id="31" w:name="fixed-strategies"/>
    <w:p>
      <w:pPr>
        <w:pStyle w:val="Heading2"/>
      </w:pPr>
      <w:r>
        <w:rPr>
          <w:rFonts w:ascii="Calibri" w:hAnsi="Calibri" w:eastAsia="Calibri" w:cs="Calibri" w:hint="eastAsia"/>
        </w:rPr>
        <w:t xml:space="preserve">6.1 Fixed strategies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three strategy identities were: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Calibri" w:hAnsi="Calibri" w:eastAsia="Calibri" w:cs="Calibri" w:hint="eastAsia"/>
        </w:rPr>
        <w:t xml:space="preserve">periodic-repack/windows=1</w:t>
      </w:r>
      <w:r>
        <w:rPr>
          <w:rFonts w:ascii="Calibri" w:hAnsi="Calibri" w:eastAsia="Calibri" w:cs="Calibri" w:hint="eastAsia"/>
        </w:rPr>
        <w:t xml:space="preserve">, which would have reconstructed and republished a complete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static CSSC layout at every Publication Window;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Calibri" w:hAnsi="Calibri" w:eastAsia="Calibri" w:cs="Calibri" w:hint="eastAsia"/>
        </w:rPr>
        <w:t xml:space="preserve">padding-reuse</w:t>
      </w:r>
      <w:r>
        <w:rPr>
          <w:rFonts w:ascii="Calibri" w:hAnsi="Calibri" w:eastAsia="Calibri" w:cs="Calibri" w:hint="eastAsia"/>
        </w:rPr>
        <w:t xml:space="preserve">, which would have reused the lowest-ordinal tombstone, then natural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padding, and otherwise rebuilds the affected fixed horizontal row partition;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Calibri" w:hAnsi="Calibri" w:eastAsia="Calibri" w:cs="Calibri" w:hint="eastAsia"/>
        </w:rPr>
        <w:t xml:space="preserve">packed-coo-cloud-segmented-delta/segment-width=128</w:t>
      </w:r>
      <w:r>
        <w:rPr>
          <w:rFonts w:ascii="Calibri" w:hAnsi="Calibri" w:eastAsia="Calibri" w:cs="Calibri" w:hint="eastAsia"/>
        </w:rPr>
        <w:t xml:space="preserve">, which would have kept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CSSC base and appended overflow into cloud-executable, row-owned 128-lane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segments. It was not to fold online in the registered experiment.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These candidates were mechanisms specified for comparison, not actions of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online policy. A slower strategy, a crossing cost curve, or the absence of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global winner would have been a reportable outcome rather than a failed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experiment.</w:t>
      </w:r>
    </w:p>
    <w:bookmarkEnd w:id="31"/>
    <w:bookmarkStart w:id="32" w:name="synthetic-matrix"/>
    <w:p>
      <w:pPr>
        <w:pStyle w:val="Heading2"/>
      </w:pPr>
      <w:r>
        <w:rPr>
          <w:rFonts w:ascii="Calibri" w:hAnsi="Calibri" w:eastAsia="Calibri" w:cs="Calibri" w:hint="eastAsia"/>
        </w:rPr>
        <w:t xml:space="preserve">6.2 Synthetic matrix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synthetic suite was specified to use a mixed insert/delete/modify workload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at two frozen scales: S would have had 256 rows, 8,193 columns, and 512 accepted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updates; M would have had 1,024 rows, 8,193 columns, and 2,048 accepted updates.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formal seeds were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20260822</w:t>
      </w:r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20260823</w:t>
      </w:r>
      <w:r>
        <w:rPr>
          <w:rFonts w:ascii="Calibri" w:hAnsi="Calibri" w:eastAsia="Calibri" w:cs="Calibri" w:hint="eastAsia"/>
        </w:rPr>
        <w:t xml:space="preserve">, and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20260824</w:t>
      </w:r>
      <w:r>
        <w:rPr>
          <w:rFonts w:ascii="Calibri" w:hAnsi="Calibri" w:eastAsia="Calibri" w:cs="Calibri" w:hint="eastAsia"/>
        </w:rPr>
        <w:t xml:space="preserve">, defining six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scale–seed shards. Every shard would have evaluated all three strategies at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rPr>
          <w:rFonts w:ascii="Calibri" w:hAnsi="Calibri" w:eastAsia="Calibri" w:cs="Calibri" w:hint="eastAsia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 a reduced fraction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q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zero-based accepted-event ordinal</w:t>
      </w:r>
      <w:r>
        <w:rPr>
          <w:rFonts w:ascii="Calibri" w:hAnsi="Calibri" w:eastAsia="Calibri" w:cs="Calibri" w:hint="eastAsia"/>
        </w:rPr>
        <w:t xml:space="preserve"> </w:t>
      </w:r>
      <m:oMath>
        <m:r>
          <m:t>a</m:t>
        </m:r>
      </m:oMath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number of queries inserted after event group</w:t>
      </w:r>
      <w:r>
        <w:rPr>
          <w:rFonts w:ascii="Calibri" w:hAnsi="Calibri" w:eastAsia="Calibri" w:cs="Calibri" w:hint="eastAsia"/>
        </w:rPr>
        <w:t xml:space="preserve"> </w:t>
      </w:r>
      <m:oMath>
        <m:r>
          <m:t>a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  <m:r>
            <m:rPr>
              <m:sty m:val="p"/>
            </m:rPr>
            <m:t>−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so the first</w:t>
      </w:r>
      <w:r>
        <w:rPr>
          <w:rFonts w:ascii="Calibri" w:hAnsi="Calibri" w:eastAsia="Calibri" w:cs="Calibri" w:hint="eastAsia"/>
        </w:rPr>
        <w:t xml:space="preserve"> </w:t>
      </w:r>
      <m:oMath>
        <m:r>
          <m:t>N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complete groups contain exactly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p</m:t>
                  </m:r>
                </m:num>
                <m:den>
                  <m:r>
                    <m:t>q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queries. The</w:t>
      </w:r>
      <w:r>
        <w:rPr>
          <w:rFonts w:ascii="Calibri" w:hAnsi="Calibri" w:eastAsia="Calibri" w:cs="Calibri" w:hint="eastAsia"/>
        </w:rPr>
        <w:t xml:space="preserve"> </w:t>
      </w:r>
      <m:oMath>
        <m:r>
          <m:t>0.01</m:t>
        </m:r>
      </m:oMath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m:oMath>
        <m:r>
          <m:t>0.1</m:t>
        </m:r>
      </m:oMath>
      <w:r>
        <w:rPr>
          <w:rFonts w:ascii="Calibri" w:hAnsi="Calibri" w:eastAsia="Calibri" w:cs="Calibri" w:hint="eastAsia"/>
        </w:rPr>
        <w:t xml:space="preserve">, and</w:t>
      </w:r>
      <w:r>
        <w:rPr>
          <w:rFonts w:ascii="Calibri" w:hAnsi="Calibri" w:eastAsia="Calibri" w:cs="Calibri" w:hint="eastAsia"/>
        </w:rPr>
        <w:t xml:space="preserve"> </w:t>
      </w:r>
      <m:oMath>
        <m:r>
          <m:t>1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cells were specified for direct execution.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cell would not have been timed; it was registered as an exact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transformation of the same strategy and shard’s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query-linear count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byte fields. Any event, window, state, or non-whitelisted-field mismatch would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have rejected the entire shard.</w:t>
      </w:r>
    </w:p>
    <w:bookmarkEnd w:id="32"/>
    <w:bookmarkStart w:id="33" w:name="ordered-events-from-one-real-source"/>
    <w:p>
      <w:pPr>
        <w:pStyle w:val="Heading2"/>
      </w:pPr>
      <w:r>
        <w:rPr>
          <w:rFonts w:ascii="Calibri" w:hAnsi="Calibri" w:eastAsia="Calibri" w:cs="Calibri" w:hint="eastAsia"/>
        </w:rPr>
        <w:t xml:space="preserve">6.3 Ordered events from one real source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sole external object would have been the SNAP Stack Overflow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answer-to-question stream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sx-stackoverflow-a2q.txt.gz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(</w:t>
      </w:r>
      <w:hyperlink w:anchor="ref-snap_stackoverflow_temporal_network">
        <w:r>
          <w:rPr>
            <w:rStyle w:val="Hyperlink"/>
          </w:rPr>
          <w:t xml:space="preserve">Stanford Network Analysis Project, n.d.</w:t>
        </w:r>
      </w:hyperlink>
      <w:r>
        <w:rPr>
          <w:rFonts w:ascii="Calibri" w:hAnsi="Calibri" w:eastAsia="Calibri" w:cs="Calibri" w:hint="eastAsia"/>
        </w:rPr>
        <w:t xml:space="preserve">;</w:t>
      </w:r>
      <w:r>
        <w:rPr>
          <w:rFonts w:ascii="Calibri" w:hAnsi="Calibri" w:eastAsia="Calibri" w:cs="Calibri" w:hint="eastAsia"/>
        </w:rPr>
        <w:t xml:space="preserve"> </w:t>
      </w:r>
      <w:hyperlink w:anchor="X25cb68a9261baf26b64cc014026bbfce216a4f2">
        <w:r>
          <w:rPr>
            <w:rStyle w:val="Hyperlink"/>
          </w:rPr>
          <w:t xml:space="preserve">Paranjape et al. 2017</w:t>
        </w:r>
      </w:hyperlink>
      <w:r>
        <w:rPr>
          <w:rFonts w:ascii="Calibri" w:hAnsi="Calibri" w:eastAsia="Calibri" w:cs="Calibri" w:hint="eastAsia"/>
        </w:rPr>
        <w:t xml:space="preserve">)</w:t>
      </w:r>
      <w:r>
        <w:rPr>
          <w:rFonts w:ascii="Calibri" w:hAnsi="Calibri" w:eastAsia="Calibri" w:cs="Calibri" w:hint="eastAsia"/>
        </w:rPr>
        <w:t xml:space="preserve">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acquisition job was specified to record the final URL, response headers,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exact compressed length, and SHA-256 digest. An independent guard would have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downloaded the object again and required identical response-body bytes;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admitted artifact would have omitted the raw compressed object.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first 1,000,000 eligible records were specified to freeze the row/column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mapping. Source-ID hashing would have defined two deterministic partitions,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each with 1,024 rows and 8,193 columns. After the mapping prefix, each partition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would have consumed 4,096 accepted records under two semantics. T1 was defined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as cumulative occurrence,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7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whereas T2 would have retained the most recent</w:t>
      </w:r>
      <w:r>
        <w:rPr>
          <w:rFonts w:ascii="Calibri" w:hAnsi="Calibri" w:eastAsia="Calibri" w:cs="Calibri" w:hint="eastAsia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1024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accepted events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performed expiry before admission in one indivisible atomic group. The synthetic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logical clock would have advanced by one second per 128 accepted records. Both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partitions and both semantics were specified to run all three strategies at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Calibri" w:hAnsi="Calibri" w:eastAsia="Calibri" w:cs="Calibri" w:hint="eastAsia"/>
        </w:rPr>
        <w:t xml:space="preserve">, yielding four ordered-event shards. If admitted, those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shards could only have supported conclusions about deterministic interactions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within one source, not multi-source or historical wall-clock generalization.</w:t>
      </w:r>
    </w:p>
    <w:bookmarkEnd w:id="33"/>
    <w:bookmarkStart w:id="34" w:name="native-openfhe-cases"/>
    <w:p>
      <w:pPr>
        <w:pStyle w:val="Heading2"/>
      </w:pPr>
      <w:r>
        <w:rPr>
          <w:rFonts w:ascii="Calibri" w:hAnsi="Calibri" w:eastAsia="Calibri" w:cs="Calibri" w:hint="eastAsia"/>
        </w:rPr>
        <w:t xml:space="preserve">6.4 Native OpenFHE cases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native matrix was specified to contain three strategies at the S and M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scales, hence six cases. Every case would have used seed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20260822</w:t>
      </w:r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Calibri" w:cs="Calibri" w:hint="eastAsia"/>
        </w:rPr>
        <w:t xml:space="preserve">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terminal accepted-event prefix (512 for S and 2,048 for M), and the query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after the last complete event group. Version, component inventory, query vector,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OutputPlan</w:t>
      </w:r>
      <w:r>
        <w:rPr>
          <w:rFonts w:ascii="Calibri" w:hAnsi="Calibri" w:eastAsia="Calibri" w:cs="Calibri" w:hint="eastAsia"/>
        </w:rPr>
        <w:t xml:space="preserve">, typed execution plan, and canonical input bytes were frozen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together.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Each case was specified to perform one discarded warm-up, three fresh-key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producer evaluations, and three exact package replays: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42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native evaluations in total. The three producer repetitions specified for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recording were technical repetitions, not independent population samples.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admitted execution would have reported their raw values, median, and range,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separately for production and replay. Replay was specified to deserialize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retained context, secret/public keys, evaluation-key frame, and input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ciphertexts. Its lifecycle receipt would have had to show zero context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generation, zero key generation, zero evaluation-key generation, and zero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encryption, while its cloud-program operation inventory would have had to equal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that of the corresponding producer package.</w:t>
      </w:r>
    </w:p>
    <w:bookmarkEnd w:id="34"/>
    <w:bookmarkStart w:id="35" w:name="measurements-and-accounting"/>
    <w:p>
      <w:pPr>
        <w:pStyle w:val="Heading2"/>
      </w:pPr>
      <w:r>
        <w:rPr>
          <w:rFonts w:ascii="Calibri" w:hAnsi="Calibri" w:eastAsia="Calibri" w:cs="Calibri" w:hint="eastAsia"/>
        </w:rPr>
        <w:t xml:space="preserve">6.5 Measurements and accounting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For strategy</w:t>
      </w:r>
      <w:r>
        <w:rPr>
          <w:rFonts w:ascii="Calibri" w:hAnsi="Calibri" w:eastAsia="Calibri" w:cs="Calibri" w:hint="eastAsia"/>
        </w:rPr>
        <w:t xml:space="preserve"> </w:t>
      </w:r>
      <m:oMath>
        <m:r>
          <m:t>k</m:t>
        </m:r>
      </m:oMath>
      <w:r>
        <w:rPr>
          <w:rFonts w:ascii="Calibri" w:hAnsi="Calibri" w:eastAsia="Calibri" w:cs="Calibri" w:hint="eastAsia"/>
        </w:rPr>
        <w:t xml:space="preserve">, scale or source unit</w:t>
      </w:r>
      <w:r>
        <w:rPr>
          <w:rFonts w:ascii="Calibri" w:hAnsi="Calibri" w:eastAsia="Calibri" w:cs="Calibri" w:hint="eastAsia"/>
        </w:rPr>
        <w:t xml:space="preserve"> </w:t>
      </w:r>
      <m:oMath>
        <m:r>
          <m:t>s</m:t>
        </m:r>
      </m:oMath>
      <w:r>
        <w:rPr>
          <w:rFonts w:ascii="Calibri" w:hAnsi="Calibri" w:eastAsia="Calibri" w:cs="Calibri" w:hint="eastAsia"/>
        </w:rPr>
        <w:t xml:space="preserve">, and query/update ratio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</m:oMath>
      <w:r>
        <w:rPr>
          <w:rFonts w:ascii="Calibri" w:hAnsi="Calibri" w:eastAsia="Calibri" w:cs="Calibri" w:hint="eastAsia"/>
        </w:rPr>
        <w:t xml:space="preserve">,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result was specified as a typed vector rather than a synthetic score: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Synthetic and ordered-event cells were specified to measure state-transition,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result-assembly, and independent-replay time, peak RSS, and controlled scratch;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they would have exactly counted events, windows, queries, typed operations,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object multiplicities. Their cryptographic-object bytes were specified as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conservative type-derived bounds,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where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exact multiplicity and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registration-time,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pre-execution Stage-1 maximum serialized size frozen for type</w:t>
      </w:r>
      <w:r>
        <w:rPr>
          <w:rFonts w:ascii="Calibri" w:hAnsi="Calibri" w:eastAsia="Calibri" w:cs="Calibri" w:hint="eastAsia"/>
        </w:rPr>
        <w:t xml:space="preserve"> </w:t>
      </w:r>
      <m:oMath>
        <m:r>
          <m:t>j</m:t>
        </m:r>
      </m:oMath>
      <w:r>
        <w:rPr>
          <w:rFonts w:ascii="Calibri" w:hAnsi="Calibri" w:eastAsia="Calibri" w:cs="Calibri" w:hint="eastAsia"/>
        </w:rPr>
        <w:t xml:space="preserve">. Canonical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metadata bytes would have been measured separately. Native cases instead were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specified to report observed serialized-object bytes, typed-operation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inventories, process time, RSS, and scratch. Simulator counts were never to be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converted into OpenFHE latency, and evidence-replay overhead was never to be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presented as strategy execution cost.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For the registered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projection, only query-linear fields change: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10</m:t>
          </m:r>
          <m:sSubSup>
            <m:e>
              <m:r>
                <m:t>n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Wall time, RSS, scratch, and native latency would have been unavailable for this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projected cell. Protocol-byte transfer time at bandwidth</w:t>
      </w:r>
      <w:r>
        <w:rPr>
          <w:rFonts w:ascii="Calibri" w:hAnsi="Calibri" w:eastAsia="Calibri" w:cs="Calibri" w:hint="eastAsia"/>
        </w:rPr>
        <w:t xml:space="preserve"> </w:t>
      </w:r>
      <m:oMath>
        <m:r>
          <m:t>b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Mbps was specified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only as the transparent conversion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B</m:t>
              </m:r>
            </m:num>
            <m:den>
              <m:r>
                <m:t>b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HTTP/TLS, artifact wrappers, filesystems, and private replay transport were to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remain separate evidence-pipeline costs.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paired strategy contrast for unit</w:t>
      </w:r>
      <w:r>
        <w:rPr>
          <w:rFonts w:ascii="Calibri" w:hAnsi="Calibri" w:eastAsia="Calibri" w:cs="Calibri" w:hint="eastAsia"/>
        </w:rPr>
        <w:t xml:space="preserve"> </w:t>
      </w:r>
      <m:oMath>
        <m:r>
          <m:t>u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where</w:t>
      </w:r>
      <w:r>
        <w:rPr>
          <w:rFonts w:ascii="Calibri" w:hAnsi="Calibri" w:eastAsia="Calibri" w:cs="Calibri" w:hint="eastAsia"/>
        </w:rPr>
        <w:t xml:space="preserve"> </w:t>
      </w:r>
      <m:oMath>
        <m:r>
          <m:t>C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one preregistered field or the full typed cost vector. With only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two scales, two deterministic source partitions, and three technical native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repetitions, an admitted execution would have reported all raw points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mechanism-level decompositions. It would not have fitted scaling exponents,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attached population</w:t>
      </w:r>
      <w:r>
        <w:rPr>
          <w:rFonts w:ascii="Calibri" w:hAnsi="Calibri" w:eastAsia="Calibri" w:cs="Calibri" w:hint="eastAsia"/>
        </w:rPr>
        <w:t xml:space="preserve"> </w:t>
      </w:r>
      <m:oMath>
        <m:r>
          <m:t>p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values or confidence intervals, or claimed a global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winner or Pareto frontier.</w:t>
      </w:r>
    </w:p>
    <w:bookmarkEnd w:id="35"/>
    <w:bookmarkStart w:id="36" w:name="evidence-admission-and-stopping"/>
    <w:p>
      <w:pPr>
        <w:pStyle w:val="Heading2"/>
      </w:pPr>
      <w:r>
        <w:rPr>
          <w:rFonts w:ascii="Calibri" w:hAnsi="Calibri" w:eastAsia="Calibri" w:cs="Calibri" w:hint="eastAsia"/>
        </w:rPr>
        <w:t xml:space="preserve">6.6 Evidence admission and stopping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Before formal execution, one six-job qualification was required to complete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within the frozen 45-minute computational path and 55-minute total path, satisfy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necessary</w:t>
      </w:r>
      <w:r>
        <w:rPr>
          <w:rFonts w:ascii="Calibri" w:hAnsi="Calibri" w:eastAsia="Calibri" w:cs="Calibri" w:hint="eastAsia"/>
        </w:rPr>
        <w:t xml:space="preserve"> </w:t>
      </w:r>
      <m:oMath>
        <m:r>
          <m:t>6</m:t>
        </m:r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9000</m:t>
        </m:r>
        <m:r>
          <m:t> </m:t>
        </m:r>
        <m:r>
          <m:rPr>
            <m:sty m:val="p"/>
          </m:rPr>
          <m:t>s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planning screen, and survive a fresh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external-controller reread. Here</w:t>
      </w:r>
      <w:r>
        <w:rPr>
          <w:rFonts w:ascii="Calibri" w:hAnsi="Calibri" w:eastAsia="Calibri" w:cs="Calibri" w:hint="eastAsia"/>
        </w:rP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is the registered per-case native-runtime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estimate: the sum of provider-API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startedAt</w:t>
      </w:r>
      <w:r>
        <w:rPr>
          <w:rFonts w:ascii="Calibri" w:hAnsi="Calibri" w:eastAsia="Calibri" w:cs="Calibri" w:hint="eastAsia"/>
        </w:rPr>
        <w:t xml:space="preserve">–</w:t>
      </w:r>
      <w:r>
        <w:rPr>
          <w:rStyle w:val="VerbatimChar"/>
          <w:rFonts w:ascii="Calibri" w:hAnsi="Calibri" w:eastAsia="Calibri" w:cs="Calibri" w:hint="eastAsia"/>
        </w:rPr>
        <w:t xml:space="preserve">completedAt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durations for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qualification’s native producer job, native replay/guard job, and entire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combined-guard job. Qualification artifacts were permanently non-evidence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could not enter the formal result set.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formal campaign was specified as serial and would have admitted exactly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 </m:t>
          </m:r>
          <m:r>
            <m:rPr>
              <m:nor/>
              <m:sty m:val="p"/>
            </m:rPr>
            <m:t>acquisition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nor/>
              <m:sty m:val="p"/>
            </m:rPr>
            <m:t>synthetic</m:t>
          </m:r>
          <m:r>
            <m:rPr>
              <m:sty m:val="p"/>
            </m:rPr>
            <m:t>+</m:t>
          </m:r>
          <m:r>
            <m:t>4</m:t>
          </m:r>
          <m:r>
            <m:t> </m:t>
          </m:r>
          <m:r>
            <m:rPr>
              <m:nor/>
              <m:sty m:val="p"/>
            </m:rPr>
            <m:t>ordered-event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nor/>
              <m:sty m:val="p"/>
            </m:rPr>
            <m:t>OpenFHE</m:t>
          </m:r>
          <m:r>
            <m:rPr>
              <m:sty m:val="p"/>
            </m:rPr>
            <m:t>=</m:t>
          </m:r>
          <m:r>
            <m:t>17</m:t>
          </m:r>
        </m:oMath>
      </m:oMathPara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pre-aggregate artifacts. Before launching each unit, the controller would have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reserved its full remaining worst-case budget. The preregistered 12-hour figure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was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acceptance threshold, not a guarantee that provider-side cancellation cannot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overshoot. Across the 17 enumerated units, at most one whole-unit replacement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would have been allowed, and only for a provider failure rather than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data-dependent or scientific outcome. Terminal admission would have rejected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missing, extra, duplicated, wrong-attempt, or wrong-kind objects before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aggregation and compatible detached analysis.</w:t>
      </w:r>
    </w:p>
    <w:bookmarkEnd w:id="36"/>
    <w:bookmarkEnd w:id="37"/>
    <w:bookmarkStart w:id="46" w:name="evidence-outcome"/>
    <w:p>
      <w:pPr>
        <w:pStyle w:val="Heading1"/>
      </w:pPr>
      <w:r>
        <w:rPr>
          <w:rFonts w:ascii="Calibri" w:hAnsi="Calibri" w:eastAsia="Calibri" w:cs="Calibri" w:hint="eastAsia"/>
        </w:rPr>
        <w:t xml:space="preserve">7. Evidence Outcome</w:t>
      </w:r>
    </w:p>
    <w:bookmarkStart w:id="41" w:name="evidence-status"/>
    <w:p>
      <w:pPr>
        <w:pStyle w:val="Heading2"/>
      </w:pPr>
      <w:r>
        <w:rPr>
          <w:rFonts w:ascii="Calibri" w:hAnsi="Calibri" w:eastAsia="Calibri" w:cs="Calibri" w:hint="eastAsia"/>
        </w:rPr>
        <w:t xml:space="preserve">7.1 Evidence status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Exact-head CI, PRE-S1, descriptive registration, and S1–S2 compatibility gates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closed before execution. Qualification run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33261434612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was then dispatched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once from exact S2 while importing behavior from exact S1. At the frozen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45-minute computational threshold, the independent simulator replay was still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running and the combined guard had not started. The external controller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requested cancellation of that exact run. The terminal workflow conclusion is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cancelled</w:t>
      </w:r>
      <w:r>
        <w:rPr>
          <w:rFonts w:ascii="Calibri" w:hAnsi="Calibri" w:eastAsia="Calibri" w:cs="Calibri" w:hint="eastAsia"/>
        </w:rPr>
        <w:t xml:space="preserve">; the only retained object was the one-day q1 pre-replay handoff,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which is permanently non-admissible.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No q5 guarded bundle, q6 post-run record, live dispatch capability, acquisition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artifact, formal shard, terminal admission record, aggregate, or compatible S3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analysis exists. The project therefore has zero reportable strategy-cost,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ordered-event, or native OpenFHE results. CI logs, qualification handoffs,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partially completed jobs, and local copies are not alternative result sources.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Figure 2 records the evidence boundary rather than a performance curve. Green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blue boxes are engineering or workflow observations at their exact source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identities; none is promoted into the absent formal result set.</w:t>
      </w:r>
    </w:p>
    <w:p>
      <w:pPr>
        <w:pStyle w:val="CaptionedFigure"/>
        <w:keepNext/>
        <w:jc w:val="center"/>
      </w:pPr>
      <w:r>
        <w:rPr>
          <w:rFonts w:ascii="Calibri" w:hAnsi="Calibri" w:eastAsia="Calibri" w:cs="Calibri" w:hint="eastAsia"/>
        </w:rPr>
        <w:drawing>
          <wp:inline>
            <wp:extent cx="5334000" cy="2895599"/>
            <wp:effectExtent b="0" l="0" r="0" t="0"/>
            <wp:docPr descr="Evidence lineage from S1 and S2 through the stopped qualification to the Route C boundary; the formal campaign was not dispatched." title="Figure 2" id="39" name="Picture"/>
            <a:graphic>
              <a:graphicData uri="http://schemas.openxmlformats.org/drawingml/2006/picture">
                <pic:pic>
                  <pic:nvPicPr>
                    <pic:cNvPr descr="assets/route-c-evidence-boundar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eastAsia="Calibri" w:cs="Calibri" w:hint="eastAsia"/>
        </w:rPr>
        <w:t xml:space="preserve">Figure 2. Primary exact-source freeze, one-shot qualification stop, and the resulting Route C evidence boundary; the later follow-up is recorded separately in Section 7.5.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Table 3. What each evidence layer proves and does not prove.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BD3DC"/>
          <w:left w:val="single" w:sz="4" w:space="0" w:color="CBD3DC"/>
          <w:bottom w:val="single" w:sz="4" w:space="0" w:color="CBD3DC"/>
          <w:right w:val="single" w:sz="4" w:space="0" w:color="CBD3DC"/>
          <w:insideH w:val="single" w:sz="4" w:space="0" w:color="CBD3DC"/>
          <w:insideV w:val="single" w:sz="4" w:space="0" w:color="CBD3DC"/>
        </w:tblBorders>
      </w:tblPr>
      <w:tblGrid>
        <w:gridCol w:w="1600"/>
        <w:gridCol w:w="2200"/>
        <w:gridCol w:w="2800"/>
        <w:gridCol w:w="2760"/>
      </w:tblGrid>
      <w:tr>
        <w:trPr>
          <w:tblHeader w:val="1"/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Layer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Exact disposition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Supports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Does not support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S1 CI and PRE-S1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Passed at exact S1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ee58627b…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Registered tests, source build, and ordinary/strong smoke execution at that identity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Strategy costs, complete-reference coverage, or formal artifact admission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Registration and S2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Descriptive archive reinspected; data-only anchor installed at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c7ff6820…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Exact S1/S2 identity and closed-Behavior-Set compatibility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Qualification GO or a replayable dispatch authority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Qualification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One exact run; q1 completed, q2 was cancelled at the frozen stop, q5 never started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Preregistered Route C decision and fail-closed provenance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Any simulator/native performance estimator or partial formal result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Follow-up controls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Five fresh controls passed at follow-up S2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e1e488f…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 all authority false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Exact follow-up source/anchor identity and prerequisite closure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Qualification GO, formal authority, or scientific execution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Follow-up qualification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One exact run was cancelled during hosted-runner setup before checkout or seed admission; zero artifacts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Terminal one-shot disposition and a control-plane failure chronology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Strategy behavior, performance, a 45/55-minute timeout, or a precise watcher/CAS root cause</w:t>
            </w:r>
          </w:p>
        </w:tc>
      </w:tr>
      <w:tr>
        <w:trPr>
          <w:cantSplit w:val="1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Formal campaign</w:t>
            </w:r>
          </w:p>
        </w:tc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Not dispatched</w:t>
            </w:r>
          </w:p>
        </w:tc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The absence of unauthorized execution</w:t>
            </w:r>
          </w:p>
        </w:tc>
        <w:tc>
          <w:tcPr>
            <w:tcW w:w="2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Strategy ranking, speedup, ordered-event findings, or native resource claims</w:t>
            </w:r>
          </w:p>
        </w:tc>
      </w:tr>
    </w:tbl>
    <w:p>
      <w:pPr>
        <w:pStyle w:val="BodyText"/>
        <w:spacing w:before="160"/>
      </w:pPr>
      <w:r>
        <w:rPr>
          <w:rFonts w:ascii="Calibri" w:hAnsi="Calibri" w:eastAsia="Calibri" w:cs="Calibri" w:hint="eastAsia"/>
          <w:b/>
          <w:bCs/>
        </w:rPr>
        <w:t xml:space="preserve">Table 4. Compact standalone provenance for the Route C stopping outcome.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BD3DC"/>
          <w:left w:val="single" w:sz="4" w:space="0" w:color="CBD3DC"/>
          <w:bottom w:val="single" w:sz="4" w:space="0" w:color="CBD3DC"/>
          <w:right w:val="single" w:sz="4" w:space="0" w:color="CBD3DC"/>
          <w:insideH w:val="single" w:sz="4" w:space="0" w:color="CBD3DC"/>
          <w:insideV w:val="single" w:sz="4" w:space="0" w:color="CBD3DC"/>
        </w:tblBorders>
      </w:tblPr>
      <w:tblGrid>
        <w:gridCol w:w="2050"/>
        <w:gridCol w:w="3110"/>
        <w:gridCol w:w="4200"/>
      </w:tblGrid>
      <w:tr>
        <w:trPr>
          <w:tblHeader w:val="1"/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Object or gate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Exact identity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Terminal disposition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Experiment source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S1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ee58627bb5752c6ac1ee2c5132c6574f9cb66552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CI 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33258436732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passed: 2,403 tests and 2 expected runner-dependent skips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Real-runner preparation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PRE-S1 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33259569284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Passed: 583 tests and pinned OpenFHE 1.5.1 ordinary/strong smokes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Evidence freeze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Registration 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33259894587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S2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c7ff6820d9323f1850c1c5c57fd9070db88db120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Descriptive authority false; S2 CI 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33260167517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passed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One-shot qualification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33261434612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cancelled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q1 completed, q2 stopped at the frozen gate, q3–q6 did not run, and q5 never started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Sole provider object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Artifact ID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9717884587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 digest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sha256:51cbfc2a…2c008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One-day q1 handoff; permanently non-evidence; no formal artifact exists</w:t>
            </w:r>
          </w:p>
        </w:tc>
      </w:tr>
    </w:tbl>
    <w:p>
      <w:pPr>
        <w:pStyle w:val="BodyText"/>
        <w:spacing w:before="160"/>
      </w:pPr>
      <w:r>
        <w:rPr>
          <w:rFonts w:ascii="Calibri" w:hAnsi="Calibri" w:eastAsia="Calibri" w:cs="Calibri" w:hint="eastAsia"/>
          <w:b/>
          <w:bCs/>
        </w:rPr>
        <w:t xml:space="preserve">Table 5. Separately preregistered follow-up chronology.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BD3DC"/>
          <w:left w:val="single" w:sz="4" w:space="0" w:color="CBD3DC"/>
          <w:bottom w:val="single" w:sz="4" w:space="0" w:color="CBD3DC"/>
          <w:right w:val="single" w:sz="4" w:space="0" w:color="CBD3DC"/>
          <w:insideH w:val="single" w:sz="4" w:space="0" w:color="CBD3DC"/>
          <w:insideV w:val="single" w:sz="4" w:space="0" w:color="CBD3DC"/>
        </w:tblBorders>
      </w:tblPr>
      <w:tblGrid>
        <w:gridCol w:w="2050"/>
        <w:gridCol w:w="3110"/>
        <w:gridCol w:w="4200"/>
      </w:tblGrid>
      <w:tr>
        <w:trPr>
          <w:tblHeader w:val="1"/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Object or gate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Exact identity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b/>
                <w:sz w:val="18"/>
              </w:rPr>
              <w:t xml:space="preserve">Terminal disposition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Follow-up experiment source and evidence freeze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S1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f8d89d6f98f289dc2e0c3414f7b4ed59b5d30f52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S2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e1e488f177dc8a469c6132a29537b041fbf1430b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compatibility receipt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c163974a…7e24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Direct-child data-only transition; all authority fields false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Five fresh controls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Runs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33347586537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33347586567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33347586568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33347586620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, and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33347586569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All completed successfully on exact S2; prerequisite evidence only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Sole follow-up qualification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Run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33348855548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completed/cancelled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only GitHub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Set up job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began; no checkout, registered seed, q1–q6 scientific stage, or artifact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Claim and evidence state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Qualification claim ref remains at exact S2; artifact API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total_count=0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evidence root empty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Watch-binding candidate absent; no formal/campaign/terminal/analysis ref and no reportable result</w:t>
            </w:r>
          </w:p>
        </w:tc>
      </w:tr>
      <w:tr>
        <w:trPr>
          <w:cantSplit w:val="1"/>
        </w:trPr>
        <w:tc>
          <w:tcPr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Independent disposition</w:t>
            </w:r>
          </w:p>
        </w:tc>
        <w:tc>
          <w:tcPr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Same exact packet received two adversarial read-only reviews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59" w:lineRule="auto"/>
              <w:jc w:val="left"/>
            </w:pPr>
            <w:r>
              <w:rPr>
                <w:rFonts w:ascii="Calibri" w:hAnsi="Calibri" w:eastAsia="Calibri" w:cs="Calibri" w:hint="eastAsia"/>
                <w:sz w:val="18"/>
              </w:rPr>
              <w:t xml:space="preserve">Both returned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 w:hint="eastAsia"/>
                <w:sz w:val="18"/>
              </w:rPr>
              <w:t xml:space="preserve">TERMINAL-NO-GO</w:t>
            </w:r>
            <w:r>
              <w:rPr>
                <w:rFonts w:ascii="Calibri" w:hAnsi="Calibri" w:eastAsia="Calibri" w:cs="Calibri" w:hint="eastAsia"/>
                <w:sz w:val="18"/>
              </w:rPr>
              <w:t xml:space="preserve">; no second qualification or repaired-lineage continuation</w:t>
            </w:r>
          </w:p>
        </w:tc>
      </w:tr>
    </w:tbl>
    <w:p>
      <w:pPr>
        <w:pStyle w:val="BodyText"/>
        <w:spacing w:before="160"/>
      </w:pPr>
      <w:r>
        <w:rPr>
          <w:rFonts w:ascii="Calibri" w:hAnsi="Calibri" w:eastAsia="Calibri" w:cs="Calibri" w:hint="eastAsia"/>
        </w:rPr>
        <w:t xml:space="preserve">The version-bound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claim-ledger-draft.md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supplement records the full provider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digest, exact authority states, and the closed claim mapping. It is part of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circulation packet rather than an alternative source of empirical results.</w:t>
      </w:r>
    </w:p>
    <w:bookmarkEnd w:id="41"/>
    <w:bookmarkStart w:id="42" w:name="synthetic-and-ordered-event-costs"/>
    <w:p>
      <w:pPr>
        <w:pStyle w:val="Heading2"/>
      </w:pPr>
      <w:r>
        <w:rPr>
          <w:rFonts w:ascii="Calibri" w:hAnsi="Calibri" w:eastAsia="Calibri" w:cs="Calibri" w:hint="eastAsia"/>
        </w:rPr>
        <w:t xml:space="preserve">7.2 Synthetic and ordered-event costs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six synthetic and four ordered-event formal shards were not dispatched.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Consequently this paper presents no strategy ranking, speedup, projected timing,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 cost trade-off plot. The frozen schemas and analysis code remain part of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reproducibility package, but an empty or partial table is not treated as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measurement result.</w:t>
      </w:r>
    </w:p>
    <w:bookmarkEnd w:id="42"/>
    <w:bookmarkStart w:id="43" w:name="native-openfhe-execution"/>
    <w:p>
      <w:pPr>
        <w:pStyle w:val="Heading2"/>
      </w:pPr>
      <w:r>
        <w:rPr>
          <w:rFonts w:ascii="Calibri" w:hAnsi="Calibri" w:eastAsia="Calibri" w:cs="Calibri" w:hint="eastAsia"/>
        </w:rPr>
        <w:t xml:space="preserve">7.3 Native OpenFHE execution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six formal native cases were not dispatched. PRE-S1 ordinary and strong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smokes demonstrate only that the pinned OpenFHE paths executed at the frozen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 identity; they are not benchmark observations. No native median, range,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speedup, memory result, or serialized-package comparison is claimed.</w:t>
      </w:r>
    </w:p>
    <w:bookmarkEnd w:id="43"/>
    <w:bookmarkStart w:id="44" w:name="preregistered-route-c-disposition"/>
    <w:p>
      <w:pPr>
        <w:pStyle w:val="Heading2"/>
      </w:pPr>
      <w:r>
        <w:rPr>
          <w:rFonts w:ascii="Calibri" w:hAnsi="Calibri" w:eastAsia="Calibri" w:cs="Calibri" w:hint="eastAsia"/>
        </w:rPr>
        <w:t xml:space="preserve">7.4 Preregistered Route C disposition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qualification deadline failure is one of the preregistered falsifiers. It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selects Route C without a threshold change, selective rerun, smaller matrix, or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reuse of the partial handoff. GitHub’s terminal metadata also reported two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never-executed downstream cancelled jobs with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completedAt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one second earlier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than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startedAt</w:t>
      </w:r>
      <w:r>
        <w:rPr>
          <w:rFonts w:ascii="Calibri" w:hAnsi="Calibri" w:eastAsia="Calibri" w:cs="Calibri" w:hint="eastAsia"/>
        </w:rPr>
        <w:t xml:space="preserve">; the controller rejected that terminal observation fail-closed.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This provider-boundary anomaly did not create a false GO and did not cause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deadline failure. It is recorded as an implementation limitation for any future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lineage, not as permission to modify S1 and repeat this one-shot attempt.</w:t>
      </w:r>
    </w:p>
    <w:bookmarkEnd w:id="44"/>
    <w:bookmarkStart w:id="45" w:name="X1500b0de950b79c26d1689b0b644a3b16b3a427"/>
    <w:p>
      <w:pPr>
        <w:pStyle w:val="Heading2"/>
      </w:pPr>
      <w:r>
        <w:rPr>
          <w:rFonts w:ascii="Calibri" w:hAnsi="Calibri" w:eastAsia="Calibri" w:cs="Calibri" w:hint="eastAsia"/>
        </w:rPr>
        <w:t xml:space="preserve">7.5 Separately preregistered follow-up disposition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follow-up was designed after the primary stop to answer a narrower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feasibility question without relaxing the original scientific matrix. Before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its sole qualification, exact-S2 CI, PRE-S1, descriptive registration,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source-anchor, and independent-review controls all completed successfully. One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production controller call then consumed the nonserialized capability, created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qualification claim, and dispatched exact-S2 run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33348855548</w:t>
      </w:r>
      <w:r>
        <w:rPr>
          <w:rFonts w:ascii="Calibri" w:hAnsi="Calibri" w:eastAsia="Calibri" w:cs="Calibri" w:hint="eastAsia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controller failed closed while establishing the watcher-admission binding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cancelled the run. GitHub recorded only its internal</w:t>
      </w:r>
      <w:r>
        <w:rPr>
          <w:rFonts w:ascii="Calibri" w:hAnsi="Calibri" w:eastAsia="Calibri" w:cs="Calibri" w:hint="eastAsia"/>
        </w:rPr>
        <w:t xml:space="preserve"> </w:t>
      </w:r>
      <w:r>
        <w:rPr>
          <w:rStyle w:val="VerbatimChar"/>
          <w:rFonts w:ascii="Calibri" w:hAnsi="Calibri" w:eastAsia="Calibri" w:cs="Calibri" w:hint="eastAsia"/>
        </w:rPr>
        <w:t xml:space="preserve">Set up job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step; no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repository checkout, identity check, seed normalization, registered-seed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computation, producer, replay, guard, or native stage ran. The other five jobs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had zero steps, the artifact inventory was empty, and the claim ref remained 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exact S2 rather than a watch-binding commit.</w:t>
      </w:r>
    </w:p>
    <w:p>
      <w:pPr>
        <w:pStyle w:val="BodyText"/>
      </w:pPr>
      <w:r>
        <w:rPr>
          <w:rFonts w:ascii="Calibri" w:hAnsi="Calibri" w:eastAsia="Calibri" w:cs="Calibri" w:hint="eastAsia"/>
        </w:rPr>
        <w:t xml:space="preserve">The frozen attempt definition attaches to the sole authorized provider dispatch,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to the first scientific step. The run’s terminal non-success therefore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exhausted the follow-up. Independent disposition reviews agreed that a direct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rerun or a repaired watcher followed by replacement S1/S2 would be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impermissible outcome-informed second attempt. The exact failing substep remains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unknown because the controller did not persist its nested exception chain;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unchanged ref alone cannot distinguish initial live-read construction,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message-commit creation, or compare-and-swap failure. This uncertainty is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control-plane limitation, not evidence about a maintenance strategy.</w:t>
      </w:r>
    </w:p>
    <w:bookmarkEnd w:id="45"/>
    <w:bookmarkEnd w:id="46"/>
    <w:bookmarkStart w:id="47" w:name="limitations"/>
    <w:p>
      <w:pPr>
        <w:pStyle w:val="Heading1"/>
      </w:pPr>
      <w:r>
        <w:rPr>
          <w:rFonts w:ascii="Calibri" w:hAnsi="Calibri" w:eastAsia="Calibri" w:cs="Calibri" w:hint="eastAsia"/>
        </w:rPr>
        <w:t xml:space="preserve">8. Limitations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threat model is narrow and provides no formal security theorem. Client B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learns layout and reconstruction metadata; the Cloud learns shapes, counts,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schedules, timing, opaque identifiers, and digests. The current witness covers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one frozen fixture and one segment width. The real-stream matrix uses one source,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two deterministic partitions, and two registered semantics; it does not support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cross-domain generalization. The two synthetic scales do not identify an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asymptotic exponent, and three fresh-key native repetitions do not identify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population distribution. The</w:t>
      </w:r>
      <w:r>
        <w:rPr>
          <w:rFonts w:ascii="Calibri" w:hAnsi="Calibri" w:eastAsia="Calibri" w:cs="Calibri" w:hint="eastAsia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row is a registered count/byte projection,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a timing measurement. Unit microbenchmarks do not imply end-to-end latency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or noise safety, and type-derived byte bounds are not observed ciphertext sizes.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present boundary is operational rather than a comparative strategy result: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formal matrix was never authorized. Post-outcome retuning, threshold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changes, and selective reuse of qualification fragments are prohibited.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later follow-up also ended before repository or seed execution. It exposes 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watcher-admission observability defect because the nested provider exception was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not retained; it does not identify the failing substep, demonstrate a scientific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timeout, or justify another attempt. Future independent studies should exercise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and log that control-plane seam before consuming a one-shot capability.</w:t>
      </w:r>
    </w:p>
    <w:bookmarkEnd w:id="47"/>
    <w:bookmarkStart w:id="48" w:name="conclusion"/>
    <w:p>
      <w:pPr>
        <w:pStyle w:val="Heading1"/>
      </w:pPr>
      <w:r>
        <w:rPr>
          <w:rFonts w:ascii="Calibri" w:hAnsi="Calibri" w:eastAsia="Calibri" w:cs="Calibri" w:hint="eastAsia"/>
        </w:rPr>
        <w:t xml:space="preserve">9. Conclusion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Mutable encrypted sparse computation requires more than an updatable container: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matrix state, query reorganization, encrypted execution, and reconstruction must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commit to the same version and be evaluated under complete causal costs. This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work supplies that explicit contract around CSSC, three fixed maintenance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mechanisms, and a fail-closed paired evaluation. The primary bounded attempt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shows the consequence of treating feasibility gates as real falsifiers: when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qualification did not reach its combined guard by the frozen deadline,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system produced no authority and the formal campaign did not run. A separately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preregistered follow-up later passed its prerequisite controls but failed while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arming the one-shot watcher before scientific execution; its provider run and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zero-artifact record likewise terminated without formal authority.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resulting Route C manuscript therefore makes protocol and evidence-boundary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claims, not comparative performance claims.</w:t>
      </w:r>
    </w:p>
    <w:bookmarkEnd w:id="48"/>
    <w:bookmarkStart w:id="49" w:name="data-and-code-availability"/>
    <w:p>
      <w:pPr>
        <w:pStyle w:val="Heading1"/>
      </w:pPr>
      <w:r>
        <w:rPr>
          <w:rFonts w:ascii="Calibri" w:hAnsi="Calibri" w:eastAsia="Calibri" w:cs="Calibri" w:hint="eastAsia"/>
        </w:rPr>
        <w:t xml:space="preserve">Data and code availability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Route C package will identify the primary and follow-up S1/S2 pairs; their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closed Behavior Sets and compatibility receipts; exact-head CI, PRE-S1,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descriptive-registration, source-anchor, and independent-review identities; both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qualification dispositions; the frozen schemas, functional propositions,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source-conformance record, and verification code. It will explicitly state that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primary one-day q1 handoff was non-evidence, the follow-up produced no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 at all, and no acquisition, formal, terminal, aggregate, or analysis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artifact was created. No empirical artifact or archival DOI is claimed by this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working draft. This section must be replaced with the accepted repository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release and archival DOI before submission.</w:t>
      </w:r>
    </w:p>
    <w:bookmarkEnd w:id="49"/>
    <w:bookmarkStart w:id="50" w:name="statements-and-declarations"/>
    <w:p>
      <w:pPr>
        <w:pStyle w:val="Heading1"/>
      </w:pPr>
      <w:r>
        <w:rPr>
          <w:rFonts w:ascii="Calibri" w:hAnsi="Calibri" w:eastAsia="Calibri" w:cs="Calibri" w:hint="eastAsia"/>
        </w:rPr>
        <w:t xml:space="preserve">Statements and declarations</w:t>
      </w:r>
    </w:p>
    <w:p>
      <w:pPr>
        <w:pStyle w:val="FirstParagraph"/>
      </w:pPr>
      <w:r>
        <w:rPr>
          <w:rFonts w:ascii="Calibri" w:hAnsi="Calibri" w:eastAsia="Calibri" w:cs="Calibri" w:hint="eastAsia"/>
          <w:b/>
          <w:bCs/>
        </w:rPr>
        <w:t xml:space="preserve">Funding.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[The human author or authors must supply the applicable funding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statement before submission.]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Competing interests.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[The human author or authors must confirm and supply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competing-interest declaration before submission.]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Author contributions.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[Insert the verified CRediT roles and author names;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an AI system must not be listed as an author.]</w:t>
      </w:r>
    </w:p>
    <w:p>
      <w:pPr>
        <w:pStyle w:val="BodyText"/>
      </w:pPr>
      <w:r>
        <w:rPr>
          <w:rFonts w:ascii="Calibri" w:hAnsi="Calibri" w:eastAsia="Calibri" w:cs="Calibri" w:hint="eastAsia"/>
          <w:b/>
          <w:bCs/>
        </w:rPr>
        <w:t xml:space="preserve">Use of generative AI.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Generative-AI systems assisted literature discovery,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implementation and test generation, adversarial review, and manuscript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drafting. Human authors must independently verify every source, inspect and run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the released code and experiments, approve the final wording, and accept full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accountability for the work. The exact disclosure will be rechecked against the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publisher policy at submission.</w:t>
      </w:r>
    </w:p>
    <w:bookmarkEnd w:id="50"/>
    <w:bookmarkStart w:id="105" w:name="references"/>
    <w:p>
      <w:pPr>
        <w:pStyle w:val="Heading1"/>
      </w:pPr>
      <w:r>
        <w:rPr>
          <w:rFonts w:ascii="Calibri" w:hAnsi="Calibri" w:eastAsia="Calibri" w:cs="Calibri" w:hint="eastAsia"/>
        </w:rPr>
        <w:t xml:space="preserve">References</w:t>
      </w:r>
    </w:p>
    <w:p>
      <w:pPr>
        <w:pStyle w:val="FirstParagraph"/>
      </w:pPr>
      <w:r>
        <w:rPr>
          <w:rFonts w:ascii="Calibri" w:hAnsi="Calibri" w:eastAsia="Calibri" w:cs="Calibri" w:hint="eastAsia"/>
        </w:rPr>
        <w:t xml:space="preserve">The citation database for this working manuscript is</w:t>
      </w:r>
      <w:r>
        <w:rPr>
          <w:rFonts w:ascii="Calibri" w:hAnsi="Calibri" w:eastAsia="Calibri" w:cs="Calibri" w:hint="eastAsia"/>
        </w:rPr>
        <w:t xml:space="preserve"> </w:t>
      </w:r>
      <w:hyperlink r:id="rId51">
        <w:r>
          <w:rPr>
            <w:rStyle w:val="VerbatimChar"/>
          </w:rPr>
          <w:t xml:space="preserve">references.bib</w:t>
        </w:r>
      </w:hyperlink>
      <w:r>
        <w:rPr>
          <w:rFonts w:ascii="Calibri" w:hAnsi="Calibri" w:eastAsia="Calibri" w:cs="Calibri" w:hint="eastAsia"/>
        </w:rPr>
        <w:t xml:space="preserve">. The venue-formatted manuscript must render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every citation above and preserve DOI/arXiv links; this draft must not be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submitted with citation keys left unresolved.</w:t>
      </w:r>
    </w:p>
    <w:bookmarkStart w:id="104" w:name="refs"/>
    <w:bookmarkStart w:id="53" w:name="ref-bell2008spmvcuda"/>
    <w:p>
      <w:pPr>
        <w:pStyle w:val="Bibliography"/>
      </w:pPr>
      <w:r>
        <w:rPr>
          <w:rFonts w:ascii="Calibri" w:hAnsi="Calibri" w:eastAsia="Calibri" w:cs="Calibri" w:hint="eastAsia"/>
        </w:rPr>
        <w:t xml:space="preserve">Bell, Nathan, and Michael Garland. 2008.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Efficient Sparse Matrix-Vector Multiplication on CUDA</w:t>
      </w:r>
      <w:r>
        <w:rPr>
          <w:rFonts w:ascii="Calibri" w:hAnsi="Calibri" w:eastAsia="Calibri" w:cs="Calibri" w:hint="eastAsia"/>
        </w:rPr>
        <w:t xml:space="preserve">. NVR-2008-004. NVIDIA Corporation.</w:t>
      </w:r>
      <w:r>
        <w:rPr>
          <w:rFonts w:ascii="Calibri" w:hAnsi="Calibri" w:eastAsia="Calibri" w:cs="Calibri" w:hint="eastAsia"/>
        </w:rPr>
        <w:t xml:space="preserve"> </w:t>
      </w:r>
      <w:hyperlink r:id="rId52">
        <w:r>
          <w:rPr>
            <w:rStyle w:val="Hyperlink"/>
          </w:rPr>
          <w:t xml:space="preserve">https://mgarland.org/files/papers/nvr-2008-004.pdf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53"/>
    <w:bookmarkStart w:id="55" w:name="ref-bonawitz2017secureagg"/>
    <w:p>
      <w:pPr>
        <w:pStyle w:val="Bibliography"/>
      </w:pPr>
      <w:r>
        <w:rPr>
          <w:rFonts w:ascii="Calibri" w:hAnsi="Calibri" w:eastAsia="Calibri" w:cs="Calibri" w:hint="eastAsia"/>
        </w:rPr>
        <w:t xml:space="preserve">Bonawitz, Keith, Vladimir Ivanov, Ben Kreuter, et al. 2017.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“Practical Secure Aggregation for Privacy-Preserving Machine Learning.”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2017 ACM SIGSAC Conference on Computer and Communications Security</w:t>
      </w:r>
      <w:r>
        <w:rPr>
          <w:rFonts w:ascii="Calibri" w:hAnsi="Calibri" w:eastAsia="Calibri" w:cs="Calibri" w:hint="eastAsia"/>
        </w:rPr>
        <w:t xml:space="preserve">, 1175–91.</w:t>
      </w:r>
      <w:r>
        <w:rPr>
          <w:rFonts w:ascii="Calibri" w:hAnsi="Calibri" w:eastAsia="Calibri" w:cs="Calibri" w:hint="eastAsia"/>
        </w:rPr>
        <w:t xml:space="preserve"> </w:t>
      </w:r>
      <w:hyperlink r:id="rId54">
        <w:r>
          <w:rPr>
            <w:rStyle w:val="Hyperlink"/>
          </w:rPr>
          <w:t xml:space="preserve">https://doi.org/10.1145/3133956.3133982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55"/>
    <w:bookmarkStart w:id="57" w:name="ref-cash2014dynamic"/>
    <w:p>
      <w:pPr>
        <w:pStyle w:val="Bibliography"/>
      </w:pPr>
      <w:r>
        <w:rPr>
          <w:rFonts w:ascii="Calibri" w:hAnsi="Calibri" w:eastAsia="Calibri" w:cs="Calibri" w:hint="eastAsia"/>
        </w:rPr>
        <w:t xml:space="preserve">Cash, David, Joseph Jaeger, Stanislaw Jarecki, et al. 2014.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“Dynamic Searchable Encryption in Very-Large Databases: Data Structures and Implementation.”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Network and Distributed System Security Symposium</w:t>
      </w:r>
      <w:r>
        <w:rPr>
          <w:rFonts w:ascii="Calibri" w:hAnsi="Calibri" w:eastAsia="Calibri" w:cs="Calibri" w:hint="eastAsia"/>
        </w:rPr>
        <w:t xml:space="preserve">.</w:t>
      </w:r>
      <w:r>
        <w:rPr>
          <w:rFonts w:ascii="Calibri" w:hAnsi="Calibri" w:eastAsia="Calibri" w:cs="Calibri" w:hint="eastAsia"/>
        </w:rPr>
        <w:t xml:space="preserve"> </w:t>
      </w:r>
      <w:hyperlink r:id="rId56">
        <w:r>
          <w:rPr>
            <w:rStyle w:val="Hyperlink"/>
          </w:rPr>
          <w:t xml:space="preserve">https://www.ndss-symposium.org/ndss2014/ndss-2014-programme/dynamic-searchable-encryption-very-large-databases-data-structures-and-implementation/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57"/>
    <w:bookmarkStart w:id="59" w:name="ref-chen2026ckksauthtree"/>
    <w:p>
      <w:pPr>
        <w:pStyle w:val="Bibliography"/>
      </w:pPr>
      <w:r>
        <w:rPr>
          <w:rFonts w:ascii="Calibri" w:hAnsi="Calibri" w:eastAsia="Calibri" w:cs="Calibri" w:hint="eastAsia"/>
        </w:rPr>
        <w:t xml:space="preserve">Chen, Qinghuan, Long Chen, Jimin Chen, Tao Li, Qinghong Cao, and Xiaoyang Zhou.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“Retrieval Integrity Verification Mechanism with Privacy Protection and Dynamic Updates for Blockchain Oracles.”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Electronics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15 (12): 2517.</w:t>
      </w:r>
      <w:r>
        <w:rPr>
          <w:rFonts w:ascii="Calibri" w:hAnsi="Calibri" w:eastAsia="Calibri" w:cs="Calibri" w:hint="eastAsia"/>
        </w:rPr>
        <w:t xml:space="preserve"> </w:t>
      </w:r>
      <w:hyperlink r:id="rId58">
        <w:r>
          <w:rPr>
            <w:rStyle w:val="Hyperlink"/>
          </w:rPr>
          <w:t xml:space="preserve">https://doi.org/10.3390/electronics15122517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59"/>
    <w:bookmarkStart w:id="61" w:name="ref-crooks2018obladi"/>
    <w:p>
      <w:pPr>
        <w:pStyle w:val="Bibliography"/>
      </w:pPr>
      <w:r>
        <w:rPr>
          <w:rFonts w:ascii="Calibri" w:hAnsi="Calibri" w:eastAsia="Calibri" w:cs="Calibri" w:hint="eastAsia"/>
        </w:rPr>
        <w:t xml:space="preserve">Crooks, Natacha, Matthew Burke, Ethan Cecchetti, Sitar Harel, Rachit Agarwal, and Lorenzo Alvisi. 2018.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“Obladi: Oblivious Serializable Transactions in the Cloud.”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13th USENIX Symposium on Operating Systems Design and Implementation</w:t>
      </w:r>
      <w:r>
        <w:rPr>
          <w:rFonts w:ascii="Calibri" w:hAnsi="Calibri" w:eastAsia="Calibri" w:cs="Calibri" w:hint="eastAsia"/>
        </w:rPr>
        <w:t xml:space="preserve">, 727–43.</w:t>
      </w:r>
      <w:r>
        <w:rPr>
          <w:rFonts w:ascii="Calibri" w:hAnsi="Calibri" w:eastAsia="Calibri" w:cs="Calibri" w:hint="eastAsia"/>
        </w:rPr>
        <w:t xml:space="preserve"> </w:t>
      </w:r>
      <w:hyperlink r:id="rId60">
        <w:r>
          <w:rPr>
            <w:rStyle w:val="Hyperlink"/>
          </w:rPr>
          <w:t xml:space="preserve">https://www.usenix.org/conference/osdi18/presentation/crooks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61"/>
    <w:bookmarkStart w:id="63" w:name="ref-dagata2026gpu"/>
    <w:p>
      <w:pPr>
        <w:pStyle w:val="Bibliography"/>
      </w:pPr>
      <w:r>
        <w:rPr>
          <w:rFonts w:ascii="Calibri" w:hAnsi="Calibri" w:eastAsia="Calibri" w:cs="Calibri" w:hint="eastAsia"/>
        </w:rPr>
        <w:t xml:space="preserve">D’Agata, Lara, Carlos Agulló-Domingo, Óscar Vera-López, et al.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</w:t>
      </w:r>
      <w:r>
        <w:rPr>
          <w:rFonts w:ascii="Calibri" w:hAnsi="Calibri" w:eastAsia="Calibri" w:cs="Calibri" w:hint="eastAsia"/>
        </w:rPr>
        <w:t xml:space="preserve">GPU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Acceleration of Sparse Fully Homomorphic Encrypted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DNNs</w:t>
      </w:r>
      <w:r>
        <w:rPr>
          <w:rFonts w:ascii="Calibri" w:hAnsi="Calibri" w:eastAsia="Calibri" w:cs="Calibri" w:hint="eastAsia"/>
        </w:rPr>
        <w:t xml:space="preserve">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Sixth European Workshop on Machine Learning and Systems</w:t>
      </w:r>
      <w:r>
        <w:rPr>
          <w:rFonts w:ascii="Calibri" w:hAnsi="Calibri" w:eastAsia="Calibri" w:cs="Calibri" w:hint="eastAsia"/>
        </w:rPr>
        <w:t xml:space="preserve">, 155–62.</w:t>
      </w:r>
      <w:r>
        <w:rPr>
          <w:rFonts w:ascii="Calibri" w:hAnsi="Calibri" w:eastAsia="Calibri" w:cs="Calibri" w:hint="eastAsia"/>
        </w:rPr>
        <w:t xml:space="preserve"> </w:t>
      </w:r>
      <w:hyperlink r:id="rId62">
        <w:r>
          <w:rPr>
            <w:rStyle w:val="Hyperlink"/>
          </w:rPr>
          <w:t xml:space="preserve">https://doi.org/10.1145/3805621.3807642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63"/>
    <w:bookmarkStart w:id="65" w:name="ref-damie2025secure"/>
    <w:p>
      <w:pPr>
        <w:pStyle w:val="Bibliography"/>
      </w:pPr>
      <w:r>
        <w:rPr>
          <w:rFonts w:ascii="Calibri" w:hAnsi="Calibri" w:eastAsia="Calibri" w:cs="Calibri" w:hint="eastAsia"/>
        </w:rPr>
        <w:t xml:space="preserve">Damie, Marc, Florian Hahn, Andreas Peter, and Jan Ramon. 2025.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Secure Sparse Matrix Multiplications and Their Applications to Privacy-Preserving Machine Learning</w:t>
      </w:r>
      <w:r>
        <w:rPr>
          <w:rFonts w:ascii="Calibri" w:hAnsi="Calibri" w:eastAsia="Calibri" w:cs="Calibri" w:hint="eastAsia"/>
        </w:rPr>
        <w:t xml:space="preserve">.</w:t>
      </w:r>
      <w:r>
        <w:rPr>
          <w:rFonts w:ascii="Calibri" w:hAnsi="Calibri" w:eastAsia="Calibri" w:cs="Calibri" w:hint="eastAsia"/>
        </w:rPr>
        <w:t xml:space="preserve"> </w:t>
      </w:r>
      <w:hyperlink r:id="rId64">
        <w:r>
          <w:rPr>
            <w:rStyle w:val="Hyperlink"/>
          </w:rPr>
          <w:t xml:space="preserve">https://arxiv.org/abs/2510.14894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65"/>
    <w:bookmarkStart w:id="67" w:name="ref-fan2012somewhat"/>
    <w:p>
      <w:pPr>
        <w:pStyle w:val="Bibliography"/>
      </w:pPr>
      <w:r>
        <w:rPr>
          <w:rFonts w:ascii="Calibri" w:hAnsi="Calibri" w:eastAsia="Calibri" w:cs="Calibri" w:hint="eastAsia"/>
        </w:rPr>
        <w:t xml:space="preserve">Fan, Junfeng, and Frederik Vercauteren. 2012.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Somewhat Practical Fully Homomorphic Encryption</w:t>
      </w:r>
      <w:r>
        <w:rPr>
          <w:rFonts w:ascii="Calibri" w:hAnsi="Calibri" w:eastAsia="Calibri" w:cs="Calibri" w:hint="eastAsia"/>
        </w:rPr>
        <w:t xml:space="preserve">. Cryptology ePrint Archive, Report 2012/144.</w:t>
      </w:r>
      <w:r>
        <w:rPr>
          <w:rFonts w:ascii="Calibri" w:hAnsi="Calibri" w:eastAsia="Calibri" w:cs="Calibri" w:hint="eastAsia"/>
        </w:rPr>
        <w:t xml:space="preserve"> </w:t>
      </w:r>
      <w:hyperlink r:id="rId66">
        <w:r>
          <w:rPr>
            <w:rStyle w:val="Hyperlink"/>
          </w:rPr>
          <w:t xml:space="preserve">https://eprint.iacr.org/2012/144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67"/>
    <w:bookmarkStart w:id="69" w:name="ref-ferguson2025unstructured"/>
    <w:p>
      <w:pPr>
        <w:pStyle w:val="Bibliography"/>
      </w:pPr>
      <w:r>
        <w:rPr>
          <w:rFonts w:ascii="Calibri" w:hAnsi="Calibri" w:eastAsia="Calibri" w:cs="Calibri" w:hint="eastAsia"/>
        </w:rPr>
        <w:t xml:space="preserve">Ferguson, Aidan, Perry Gibson, Lara D’Agata, et al. 2025.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“Exploiting Unstructured Sparsity in Fully Homomorphic Encrypted DNNs.”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5th Workshop on Machine Learning and Systems</w:t>
      </w:r>
      <w:r>
        <w:rPr>
          <w:rFonts w:ascii="Calibri" w:hAnsi="Calibri" w:eastAsia="Calibri" w:cs="Calibri" w:hint="eastAsia"/>
        </w:rPr>
        <w:t xml:space="preserve">, 31–38.</w:t>
      </w:r>
      <w:r>
        <w:rPr>
          <w:rFonts w:ascii="Calibri" w:hAnsi="Calibri" w:eastAsia="Calibri" w:cs="Calibri" w:hint="eastAsia"/>
        </w:rPr>
        <w:t xml:space="preserve"> </w:t>
      </w:r>
      <w:hyperlink r:id="rId68">
        <w:r>
          <w:rPr>
            <w:rStyle w:val="Hyperlink"/>
          </w:rPr>
          <w:t xml:space="preserve">https://doi.org/10.1145/3721146.3721948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69"/>
    <w:bookmarkStart w:id="71" w:name="ref-gao2026cssc"/>
    <w:p>
      <w:pPr>
        <w:pStyle w:val="Bibliography"/>
      </w:pPr>
      <w:r>
        <w:rPr>
          <w:rFonts w:ascii="Calibri" w:hAnsi="Calibri" w:eastAsia="Calibri" w:cs="Calibri" w:hint="eastAsia"/>
        </w:rPr>
        <w:t xml:space="preserve">Gao, Yang, Gang Quan, Wujie Wen, Scott Piersall, Qian Lou, and Liqiang Wang.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“Efficient Privacy-Preserving Sparse Matrix-Vector Multiplication Using Homomorphic Encryption.”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Information Sciences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739: 123180.</w:t>
      </w:r>
      <w:r>
        <w:rPr>
          <w:rFonts w:ascii="Calibri" w:hAnsi="Calibri" w:eastAsia="Calibri" w:cs="Calibri" w:hint="eastAsia"/>
        </w:rPr>
        <w:t xml:space="preserve"> </w:t>
      </w:r>
      <w:hyperlink r:id="rId70">
        <w:r>
          <w:rPr>
            <w:rStyle w:val="Hyperlink"/>
          </w:rPr>
          <w:t xml:space="preserve">https://doi.org/10.1016/j.ins.2026.123180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71"/>
    <w:bookmarkStart w:id="73" w:name="ref-halevi2014algorithms"/>
    <w:p>
      <w:pPr>
        <w:pStyle w:val="Bibliography"/>
      </w:pPr>
      <w:r>
        <w:rPr>
          <w:rFonts w:ascii="Calibri" w:hAnsi="Calibri" w:eastAsia="Calibri" w:cs="Calibri" w:hint="eastAsia"/>
        </w:rPr>
        <w:t xml:space="preserve">Halevi, Shai, and Victor Shoup. 2014.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“Algorithms in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HElib</w:t>
      </w:r>
      <w:r>
        <w:rPr>
          <w:rFonts w:ascii="Calibri" w:hAnsi="Calibri" w:eastAsia="Calibri" w:cs="Calibri" w:hint="eastAsia"/>
        </w:rPr>
        <w:t xml:space="preserve">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In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Advances in Cryptology –</w:t>
      </w:r>
      <w:r>
        <w:rPr>
          <w:rFonts w:ascii="Calibri" w:hAnsi="Calibri" w:eastAsia="Calibri" w:cs="Calibri" w:hint="eastAsia"/>
          <w:i/>
          <w:iCs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CRYPTO</w:t>
      </w:r>
      <w:r>
        <w:rPr>
          <w:rFonts w:ascii="Calibri" w:hAnsi="Calibri" w:eastAsia="Calibri" w:cs="Calibri" w:hint="eastAsia"/>
          <w:i/>
          <w:iCs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2014, Part i</w:t>
      </w:r>
      <w:r>
        <w:rPr>
          <w:rFonts w:ascii="Calibri" w:hAnsi="Calibri" w:eastAsia="Calibri" w:cs="Calibri" w:hint="eastAsia"/>
        </w:rPr>
        <w:t xml:space="preserve">, edited by Juan A. Garay and Rosario Gennaro, vol. 8616. Lecture Notes in Computer Science. Springer Berlin Heidelberg.</w:t>
      </w:r>
      <w:r>
        <w:rPr>
          <w:rFonts w:ascii="Calibri" w:hAnsi="Calibri" w:eastAsia="Calibri" w:cs="Calibri" w:hint="eastAsia"/>
        </w:rPr>
        <w:t xml:space="preserve"> </w:t>
      </w:r>
      <w:hyperlink r:id="rId72">
        <w:r>
          <w:rPr>
            <w:rStyle w:val="Hyperlink"/>
          </w:rPr>
          <w:t xml:space="preserve">https://doi.org/10.1007/978-3-662-44371-2_31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73"/>
    <w:bookmarkStart w:id="75" w:name="ref-he2024rhombus"/>
    <w:p>
      <w:pPr>
        <w:pStyle w:val="Bibliography"/>
      </w:pPr>
      <w:r>
        <w:rPr>
          <w:rFonts w:ascii="Calibri" w:hAnsi="Calibri" w:eastAsia="Calibri" w:cs="Calibri" w:hint="eastAsia"/>
        </w:rPr>
        <w:t xml:space="preserve">He, Jiaxing, Kang Yang, Guofeng Tang, et al. 2024.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“Rhombus: Fast Homomorphic Matrix-Vector Multiplication for Secure Two-Party Inference.”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2024 ACM SIGSAC Conference on Computer and Communications Security</w:t>
      </w:r>
      <w:r>
        <w:rPr>
          <w:rFonts w:ascii="Calibri" w:hAnsi="Calibri" w:eastAsia="Calibri" w:cs="Calibri" w:hint="eastAsia"/>
        </w:rPr>
        <w:t xml:space="preserve">, 2490–504.</w:t>
      </w:r>
      <w:r>
        <w:rPr>
          <w:rFonts w:ascii="Calibri" w:hAnsi="Calibri" w:eastAsia="Calibri" w:cs="Calibri" w:hint="eastAsia"/>
        </w:rPr>
        <w:t xml:space="preserve"> </w:t>
      </w:r>
      <w:hyperlink r:id="rId74">
        <w:r>
          <w:rPr>
            <w:rStyle w:val="Hyperlink"/>
          </w:rPr>
          <w:t xml:space="preserve">https://doi.org/10.1145/3658644.3690281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75"/>
    <w:bookmarkStart w:id="77" w:name="ref-king2016dynamiccsr"/>
    <w:p>
      <w:pPr>
        <w:pStyle w:val="Bibliography"/>
      </w:pPr>
      <w:r>
        <w:rPr>
          <w:rFonts w:ascii="Calibri" w:hAnsi="Calibri" w:eastAsia="Calibri" w:cs="Calibri" w:hint="eastAsia"/>
        </w:rPr>
        <w:t xml:space="preserve">King, James, Thomas Gilray, Robert M. Kirby, and Matthew Might. 2016.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“Dynamic Sparse-Matrix Allocation on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GPUs</w:t>
      </w:r>
      <w:r>
        <w:rPr>
          <w:rFonts w:ascii="Calibri" w:hAnsi="Calibri" w:eastAsia="Calibri" w:cs="Calibri" w:hint="eastAsia"/>
        </w:rPr>
        <w:t xml:space="preserve">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High Performance Computing: ISC High Performance 2016</w:t>
      </w:r>
      <w:r>
        <w:rPr>
          <w:rFonts w:ascii="Calibri" w:hAnsi="Calibri" w:eastAsia="Calibri" w:cs="Calibri" w:hint="eastAsia"/>
        </w:rPr>
        <w:t xml:space="preserve">, Lecture notes in computer science, vol. 9697: 61–80.</w:t>
      </w:r>
      <w:r>
        <w:rPr>
          <w:rFonts w:ascii="Calibri" w:hAnsi="Calibri" w:eastAsia="Calibri" w:cs="Calibri" w:hint="eastAsia"/>
        </w:rPr>
        <w:t xml:space="preserve"> </w:t>
      </w:r>
      <w:hyperlink r:id="rId76">
        <w:r>
          <w:rPr>
            <w:rStyle w:val="Hyperlink"/>
          </w:rPr>
          <w:t xml:space="preserve">https://doi.org/10.1007/978-3-319-41321-1_4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77"/>
    <w:bookmarkStart w:id="79" w:name="ref-kreutzer2014sellcsigma"/>
    <w:p>
      <w:pPr>
        <w:pStyle w:val="Bibliography"/>
      </w:pPr>
      <w:r>
        <w:rPr>
          <w:rFonts w:ascii="Calibri" w:hAnsi="Calibri" w:eastAsia="Calibri" w:cs="Calibri" w:hint="eastAsia"/>
        </w:rPr>
        <w:t xml:space="preserve">Kreutzer, Moritz, Georg Hager, Gerhard Wellein, Holger Fehske, and Alan R. Bishop. 2014.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“A Unified Sparse Matrix Data Format for Efficient General Sparse Matrix-Vector Multiply on Modern Processors with Wide SIMD Units.”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SIAM Journal on Scientific Computing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36 (5): C401–23.</w:t>
      </w:r>
      <w:r>
        <w:rPr>
          <w:rFonts w:ascii="Calibri" w:hAnsi="Calibri" w:eastAsia="Calibri" w:cs="Calibri" w:hint="eastAsia"/>
        </w:rPr>
        <w:t xml:space="preserve"> </w:t>
      </w:r>
      <w:hyperlink r:id="rId78">
        <w:r>
          <w:rPr>
            <w:rStyle w:val="Hyperlink"/>
          </w:rPr>
          <w:t xml:space="preserve">https://doi.org/10.1137/130930352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79"/>
    <w:bookmarkStart w:id="81" w:name="ref-liu2024ddse"/>
    <w:p>
      <w:pPr>
        <w:pStyle w:val="Bibliography"/>
      </w:pPr>
      <w:r>
        <w:rPr>
          <w:rFonts w:ascii="Calibri" w:hAnsi="Calibri" w:eastAsia="Calibri" w:cs="Calibri" w:hint="eastAsia"/>
        </w:rPr>
        <w:t xml:space="preserve">Liu, Dongli, Wei Wang, Peng Xu, Laurence T. Yang, Bo Luo, and Kaitai Liang. 2024.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</w:t>
      </w:r>
      <w:r>
        <w:rPr>
          <w:rFonts w:ascii="Calibri" w:hAnsi="Calibri" w:eastAsia="Calibri" w:cs="Calibri" w:hint="eastAsia"/>
        </w:rPr>
        <w:t xml:space="preserve">d-DSE</w:t>
      </w:r>
      <w:r>
        <w:rPr>
          <w:rFonts w:ascii="Calibri" w:hAnsi="Calibri" w:eastAsia="Calibri" w:cs="Calibri" w:hint="eastAsia"/>
        </w:rPr>
        <w:t xml:space="preserve">: Distinct Dynamic Searchable Encryption Resisting Volume Leakage in Encrypted Databases.”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33rd USENIX Security Symposium (USENIX Security 24)</w:t>
      </w:r>
      <w:r>
        <w:rPr>
          <w:rFonts w:ascii="Calibri" w:hAnsi="Calibri" w:eastAsia="Calibri" w:cs="Calibri" w:hint="eastAsia"/>
        </w:rPr>
        <w:t xml:space="preserve">, 2563–80.</w:t>
      </w:r>
      <w:r>
        <w:rPr>
          <w:rFonts w:ascii="Calibri" w:hAnsi="Calibri" w:eastAsia="Calibri" w:cs="Calibri" w:hint="eastAsia"/>
        </w:rPr>
        <w:t xml:space="preserve"> </w:t>
      </w:r>
      <w:hyperlink r:id="rId80">
        <w:r>
          <w:rPr>
            <w:rStyle w:val="Hyperlink"/>
          </w:rPr>
          <w:t xml:space="preserve">https://www.usenix.org/conference/usenixsecurity24/presentation/liu-dongli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81"/>
    <w:bookmarkStart w:id="83" w:name="ref-mutluergil2026diagonal"/>
    <w:p>
      <w:pPr>
        <w:pStyle w:val="Bibliography"/>
      </w:pPr>
      <w:r>
        <w:rPr>
          <w:rFonts w:ascii="Calibri" w:hAnsi="Calibri" w:eastAsia="Calibri" w:cs="Calibri" w:hint="eastAsia"/>
        </w:rPr>
        <w:t xml:space="preserve">Mutluergil, Kemal, Deniz Elbek, Kamer Kaya, and Erkay Savaş.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Diagonal Packing for Efficient Homomorphic Sparse Matrix-Vector Multiplication</w:t>
      </w:r>
      <w:r>
        <w:rPr>
          <w:rFonts w:ascii="Calibri" w:hAnsi="Calibri" w:eastAsia="Calibri" w:cs="Calibri" w:hint="eastAsia"/>
        </w:rPr>
        <w:t xml:space="preserve">.</w:t>
      </w:r>
      <w:r>
        <w:rPr>
          <w:rFonts w:ascii="Calibri" w:hAnsi="Calibri" w:eastAsia="Calibri" w:cs="Calibri" w:hint="eastAsia"/>
        </w:rPr>
        <w:t xml:space="preserve"> </w:t>
      </w:r>
      <w:hyperlink r:id="rId82">
        <w:r>
          <w:rPr>
            <w:rStyle w:val="Hyperlink"/>
          </w:rPr>
          <w:t xml:space="preserve">https://arxiv.org/abs/2604.04683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83"/>
    <w:bookmarkStart w:id="85" w:name="ref-oneil1996lsm"/>
    <w:p>
      <w:pPr>
        <w:pStyle w:val="Bibliography"/>
      </w:pPr>
      <w:r>
        <w:rPr>
          <w:rFonts w:ascii="Calibri" w:hAnsi="Calibri" w:eastAsia="Calibri" w:cs="Calibri" w:hint="eastAsia"/>
        </w:rPr>
        <w:t xml:space="preserve">O’Neil, Patrick, Edward Cheng, Dieter Gawlick, and Elizabeth O’Neil. 1996.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“The Log-Structured Merge-Tree (LSM-Tree).”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Acta Informatica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33 (4): 351–85.</w:t>
      </w:r>
      <w:r>
        <w:rPr>
          <w:rFonts w:ascii="Calibri" w:hAnsi="Calibri" w:eastAsia="Calibri" w:cs="Calibri" w:hint="eastAsia"/>
        </w:rPr>
        <w:t xml:space="preserve"> </w:t>
      </w:r>
      <w:hyperlink r:id="rId84">
        <w:r>
          <w:rPr>
            <w:rStyle w:val="Hyperlink"/>
          </w:rPr>
          <w:t xml:space="preserve">https://doi.org/10.1007/s002360050048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85"/>
    <w:bookmarkStart w:id="87" w:name="ref-openfhe151"/>
    <w:p>
      <w:pPr>
        <w:pStyle w:val="Bibliography"/>
      </w:pPr>
      <w:r>
        <w:rPr>
          <w:rFonts w:ascii="Calibri" w:hAnsi="Calibri" w:eastAsia="Calibri" w:cs="Calibri" w:hint="eastAsia"/>
        </w:rPr>
        <w:t xml:space="preserve">OpenFHE Development Team.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OpenFHE Development Repository, Version 1.5.1 Source Snapshot</w:t>
      </w:r>
      <w:r>
        <w:rPr>
          <w:rFonts w:ascii="Calibri" w:hAnsi="Calibri" w:eastAsia="Calibri" w:cs="Calibri" w:hint="eastAsia"/>
        </w:rPr>
        <w:t xml:space="preserve">. Git commit 1306d14f8c26bb6150d3e6ad54f28dfe1007689e.</w:t>
      </w:r>
      <w:r>
        <w:rPr>
          <w:rFonts w:ascii="Calibri" w:hAnsi="Calibri" w:eastAsia="Calibri" w:cs="Calibri" w:hint="eastAsia"/>
        </w:rPr>
        <w:t xml:space="preserve"> </w:t>
      </w:r>
      <w:hyperlink r:id="rId86">
        <w:r>
          <w:rPr>
            <w:rStyle w:val="Hyperlink"/>
          </w:rPr>
          <w:t xml:space="preserve">https://github.com/openfheorg/openfhe-development/tree/1306d14f8c26bb6150d3e6ad54f28dfe1007689e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87"/>
    <w:bookmarkStart w:id="89" w:name="X25cb68a9261baf26b64cc014026bbfce216a4f2"/>
    <w:p>
      <w:pPr>
        <w:pStyle w:val="Bibliography"/>
      </w:pPr>
      <w:r>
        <w:rPr>
          <w:rFonts w:ascii="Calibri" w:hAnsi="Calibri" w:eastAsia="Calibri" w:cs="Calibri" w:hint="eastAsia"/>
        </w:rPr>
        <w:t xml:space="preserve">Paranjape, Ashwin, Austin R. Benson, and Jure Leskovec. 2017.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“Motifs in Temporal Networks.”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Tenth ACM International Conference on Web Search and Data Mining</w:t>
      </w:r>
      <w:r>
        <w:rPr>
          <w:rFonts w:ascii="Calibri" w:hAnsi="Calibri" w:eastAsia="Calibri" w:cs="Calibri" w:hint="eastAsia"/>
        </w:rPr>
        <w:t xml:space="preserve">, 601–10.</w:t>
      </w:r>
      <w:r>
        <w:rPr>
          <w:rFonts w:ascii="Calibri" w:hAnsi="Calibri" w:eastAsia="Calibri" w:cs="Calibri" w:hint="eastAsia"/>
        </w:rPr>
        <w:t xml:space="preserve"> </w:t>
      </w:r>
      <w:hyperlink r:id="rId88">
        <w:r>
          <w:rPr>
            <w:rStyle w:val="Hyperlink"/>
          </w:rPr>
          <w:t xml:space="preserve">https://doi.org/10.1145/3018661.3018731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89"/>
    <w:bookmarkStart w:id="91" w:name="ref-parbat2023authorized"/>
    <w:p>
      <w:pPr>
        <w:pStyle w:val="Bibliography"/>
      </w:pPr>
      <w:r>
        <w:rPr>
          <w:rFonts w:ascii="Calibri" w:hAnsi="Calibri" w:eastAsia="Calibri" w:cs="Calibri" w:hint="eastAsia"/>
        </w:rPr>
        <w:t xml:space="preserve">Parbat, Tanusree, and Ayantika Chatterjee. 2023.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“Authorized Update in Multi-User Homomorphic Encrypted Cloud Database.”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IEEE Transactions on Knowledge and Data Engineering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35 (8): 7796–808.</w:t>
      </w:r>
      <w:r>
        <w:rPr>
          <w:rFonts w:ascii="Calibri" w:hAnsi="Calibri" w:eastAsia="Calibri" w:cs="Calibri" w:hint="eastAsia"/>
        </w:rPr>
        <w:t xml:space="preserve"> </w:t>
      </w:r>
      <w:hyperlink r:id="rId90">
        <w:r>
          <w:rPr>
            <w:rStyle w:val="Hyperlink"/>
          </w:rPr>
          <w:t xml:space="preserve">https://doi.org/10.1109/TKDE.2022.3221148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91"/>
    <w:bookmarkStart w:id="93" w:name="ref-snap_stackoverflow_temporal_network"/>
    <w:p>
      <w:pPr>
        <w:pStyle w:val="Bibliography"/>
      </w:pPr>
      <w:r>
        <w:rPr>
          <w:rFonts w:ascii="Calibri" w:hAnsi="Calibri" w:eastAsia="Calibri" w:cs="Calibri" w:hint="eastAsia"/>
        </w:rPr>
        <w:t xml:space="preserve">Stanford Network Analysis Project. n.d.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Stack Overflow Temporal Network</w:t>
      </w:r>
      <w:r>
        <w:rPr>
          <w:rFonts w:ascii="Calibri" w:hAnsi="Calibri" w:eastAsia="Calibri" w:cs="Calibri" w:hint="eastAsia"/>
        </w:rPr>
        <w:t xml:space="preserve">. Stanford Network Analysis Project.</w:t>
      </w:r>
      <w:r>
        <w:rPr>
          <w:rFonts w:ascii="Calibri" w:hAnsi="Calibri" w:eastAsia="Calibri" w:cs="Calibri" w:hint="eastAsia"/>
        </w:rPr>
        <w:t xml:space="preserve"> </w:t>
      </w:r>
      <w:hyperlink r:id="rId92">
        <w:r>
          <w:rPr>
            <w:rStyle w:val="Hyperlink"/>
          </w:rPr>
          <w:t xml:space="preserve">https://snap.stanford.edu/data/sx-stackoverflow.html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93"/>
    <w:bookmarkStart w:id="95" w:name="ref-stylianou2022morpheus"/>
    <w:p>
      <w:pPr>
        <w:pStyle w:val="Bibliography"/>
      </w:pPr>
      <w:r>
        <w:rPr>
          <w:rFonts w:ascii="Calibri" w:hAnsi="Calibri" w:eastAsia="Calibri" w:cs="Calibri" w:hint="eastAsia"/>
        </w:rPr>
        <w:t xml:space="preserve">Stylianou, Chris, and Michele Weiland. 2022.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Exploiting Dynamic Sparse Matrices for Performance Portable Linear Algebra Operations</w:t>
      </w:r>
      <w:r>
        <w:rPr>
          <w:rFonts w:ascii="Calibri" w:hAnsi="Calibri" w:eastAsia="Calibri" w:cs="Calibri" w:hint="eastAsia"/>
        </w:rPr>
        <w:t xml:space="preserve">.</w:t>
      </w:r>
      <w:r>
        <w:rPr>
          <w:rFonts w:ascii="Calibri" w:hAnsi="Calibri" w:eastAsia="Calibri" w:cs="Calibri" w:hint="eastAsia"/>
        </w:rPr>
        <w:t xml:space="preserve"> </w:t>
      </w:r>
      <w:hyperlink r:id="rId94">
        <w:r>
          <w:rPr>
            <w:rStyle w:val="Hyperlink"/>
          </w:rPr>
          <w:t xml:space="preserve">https://arxiv.org/abs/2209.06478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95"/>
    <w:bookmarkStart w:id="97" w:name="ref-vo2021shielddb"/>
    <w:p>
      <w:pPr>
        <w:pStyle w:val="Bibliography"/>
      </w:pPr>
      <w:r>
        <w:rPr>
          <w:rFonts w:ascii="Calibri" w:hAnsi="Calibri" w:eastAsia="Calibri" w:cs="Calibri" w:hint="eastAsia"/>
        </w:rPr>
        <w:t xml:space="preserve">Vo, Viet, Xingliang Yuan, Shi-Feng Sun, Joseph K. Liu, Surya Nepal, and Cong Wang. 2023.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“ShieldDB: An Encrypted Document Database with Padding Countermeasures.”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IEEE Transactions on Knowledge and Data Engineering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35 (4): 4236–52.</w:t>
      </w:r>
      <w:r>
        <w:rPr>
          <w:rFonts w:ascii="Calibri" w:hAnsi="Calibri" w:eastAsia="Calibri" w:cs="Calibri" w:hint="eastAsia"/>
        </w:rPr>
        <w:t xml:space="preserve"> </w:t>
      </w:r>
      <w:hyperlink r:id="rId96">
        <w:r>
          <w:rPr>
            <w:rStyle w:val="Hyperlink"/>
          </w:rPr>
          <w:t xml:space="preserve">https://doi.org/10.1109/TKDE.2021.3126607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97"/>
    <w:bookmarkStart w:id="99" w:name="ref-wei2026sparsee"/>
    <w:p>
      <w:pPr>
        <w:pStyle w:val="Bibliography"/>
      </w:pPr>
      <w:r>
        <w:rPr>
          <w:rFonts w:ascii="Calibri" w:hAnsi="Calibri" w:eastAsia="Calibri" w:cs="Calibri" w:hint="eastAsia"/>
        </w:rPr>
        <w:t xml:space="preserve">Wei, Yuntao, Xueyan Wang, Song Bian, Yier Jin, and Weisheng Zhao.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SparseE</w:t>
      </w:r>
      <w:r>
        <w:rPr>
          <w:rFonts w:ascii="Calibri" w:hAnsi="Calibri" w:eastAsia="Calibri" w:cs="Calibri" w:hint="eastAsia"/>
          <w:i/>
          <w:iCs/>
        </w:rPr>
        <w:t xml:space="preserve">: Unlocking Sparsities in Encrypted Sparse Matrix Multiplication via Hardware-Software Co-Design</w:t>
      </w:r>
      <w:r>
        <w:rPr>
          <w:rFonts w:ascii="Calibri" w:hAnsi="Calibri" w:eastAsia="Calibri" w:cs="Calibri" w:hint="eastAsia"/>
        </w:rPr>
        <w:t xml:space="preserve">. 63rd Design Automation Conference Research Manuscript Program.</w:t>
      </w:r>
      <w:r>
        <w:rPr>
          <w:rFonts w:ascii="Calibri" w:hAnsi="Calibri" w:eastAsia="Calibri" w:cs="Calibri" w:hint="eastAsia"/>
        </w:rPr>
        <w:t xml:space="preserve"> </w:t>
      </w:r>
      <w:hyperlink r:id="rId98">
        <w:r>
          <w:rPr>
            <w:rStyle w:val="Hyperlink"/>
          </w:rPr>
          <w:t xml:space="preserve">https://63dac.conference-program.com/presentation/?id=RESEARCH2265\&amp;sess=sess108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99"/>
    <w:bookmarkStart w:id="101" w:name="ref-xiong2026cipherskip"/>
    <w:p>
      <w:pPr>
        <w:pStyle w:val="Bibliography"/>
      </w:pPr>
      <w:r>
        <w:rPr>
          <w:rFonts w:ascii="Calibri" w:hAnsi="Calibri" w:eastAsia="Calibri" w:cs="Calibri" w:hint="eastAsia"/>
        </w:rPr>
        <w:t xml:space="preserve">Xiong, Wujie, Hao Zhou, Yutong Ye, Ruoming Jin, and Lei Xu. 2026.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</w:t>
      </w:r>
      <w:r>
        <w:rPr>
          <w:rFonts w:ascii="Calibri" w:hAnsi="Calibri" w:eastAsia="Calibri" w:cs="Calibri" w:hint="eastAsia"/>
        </w:rPr>
        <w:t xml:space="preserve">CipherSkip</w:t>
      </w:r>
      <w:r>
        <w:rPr>
          <w:rFonts w:ascii="Calibri" w:hAnsi="Calibri" w:eastAsia="Calibri" w:cs="Calibri" w:hint="eastAsia"/>
        </w:rPr>
        <w:t xml:space="preserve">: Efficient Sparse Matrix Multiplication with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FHE</w:t>
      </w:r>
      <w:r>
        <w:rPr>
          <w:rFonts w:ascii="Calibri" w:hAnsi="Calibri" w:eastAsia="Calibri" w:cs="Calibri" w:hint="eastAsia"/>
        </w:rPr>
        <w:t xml:space="preserve">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40th ACM International Conference on Supercomputing</w:t>
      </w:r>
      <w:r>
        <w:rPr>
          <w:rFonts w:ascii="Calibri" w:hAnsi="Calibri" w:eastAsia="Calibri" w:cs="Calibri" w:hint="eastAsia"/>
        </w:rPr>
        <w:t xml:space="preserve">, 1220–31.</w:t>
      </w:r>
      <w:r>
        <w:rPr>
          <w:rFonts w:ascii="Calibri" w:hAnsi="Calibri" w:eastAsia="Calibri" w:cs="Calibri" w:hint="eastAsia"/>
        </w:rPr>
        <w:t xml:space="preserve"> </w:t>
      </w:r>
      <w:hyperlink r:id="rId100">
        <w:r>
          <w:rPr>
            <w:rStyle w:val="Hyperlink"/>
          </w:rPr>
          <w:t xml:space="preserve">https://doi.org/10.1145/3797905.3807876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101"/>
    <w:bookmarkStart w:id="103" w:name="ref-yu2025lodia"/>
    <w:p>
      <w:pPr>
        <w:pStyle w:val="Bibliography"/>
      </w:pPr>
      <w:r>
        <w:rPr>
          <w:rFonts w:ascii="Calibri" w:hAnsi="Calibri" w:eastAsia="Calibri" w:cs="Calibri" w:hint="eastAsia"/>
        </w:rPr>
        <w:t xml:space="preserve">Yu, Jiping, Kun Chen, Xiaoyu Fan, Yunyi Chen, Xiaowei Zhu, and Wenguang Chen. 2025.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</w:rPr>
        <w:t xml:space="preserve">“Lodia: Towards Optimal Sparse Matrix-Vector Multiplication for Batched Fully Homomorphic Encryption.”</w:t>
      </w:r>
      <w:r>
        <w:rPr>
          <w:rFonts w:ascii="Calibri" w:hAnsi="Calibri" w:eastAsia="Calibri" w:cs="Calibri" w:hint="eastAsia"/>
        </w:rPr>
        <w:t xml:space="preserve"> </w:t>
      </w:r>
      <w:r>
        <w:rPr>
          <w:rFonts w:ascii="Calibri" w:hAnsi="Calibri" w:eastAsia="Calibri" w:cs="Calibri" w:hint="eastAsia"/>
          <w:i/>
          <w:iCs/>
        </w:rPr>
        <w:t xml:space="preserve">Proceedings of the 2025 ACM SIGSAC Conference on Computer and Communications Security</w:t>
      </w:r>
      <w:r>
        <w:rPr>
          <w:rFonts w:ascii="Calibri" w:hAnsi="Calibri" w:eastAsia="Calibri" w:cs="Calibri" w:hint="eastAsia"/>
        </w:rPr>
        <w:t xml:space="preserve">, 3649–63.</w:t>
      </w:r>
      <w:r>
        <w:rPr>
          <w:rFonts w:ascii="Calibri" w:hAnsi="Calibri" w:eastAsia="Calibri" w:cs="Calibri" w:hint="eastAsia"/>
        </w:rPr>
        <w:t xml:space="preserve"> </w:t>
      </w:r>
      <w:hyperlink r:id="rId102">
        <w:r>
          <w:rPr>
            <w:rStyle w:val="Hyperlink"/>
          </w:rPr>
          <w:t xml:space="preserve">https://doi.org/10.1145/3719027.3765025</w:t>
        </w:r>
      </w:hyperlink>
      <w:r>
        <w:rPr>
          <w:rFonts w:ascii="Calibri" w:hAnsi="Calibri" w:eastAsia="Calibri" w:cs="Calibri" w:hint="eastAsia"/>
        </w:rPr>
        <w:t xml:space="preserve">.</w:t>
      </w:r>
    </w:p>
    <w:bookmarkEnd w:id="103"/>
    <w:bookmarkEnd w:id="104"/>
    <w:bookmarkEnd w:id="105"/>
    <w:bookmarkEnd w:id="106"/>
    <w:sectPr>
      <w:headerReference w:type="default" r:id="rId9"/>
      <w:headerReference w:type="first" r:id="rId10"/>
      <w:footerReference w:type="defaul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 w:hint="eastAsia"/>
        <w:color w:val="5B6573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 w:hint="eastAsia"/>
        <w:color w:val="5B6573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 w:hint="eastAsia"/>
        <w:b/>
        <w:color w:val="5B6573"/>
        <w:sz w:val="17"/>
      </w:rPr>
      <w:t>VERSION-BOUND MUTABLE CSSC SPMV • ROUTE C WORKING MANUSCRIPT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 w:hint="eastAsia"/>
        <w:b/>
        <w:color w:val="5B6573"/>
        <w:sz w:val="17"/>
      </w:rPr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540" w:hanging="279"/>
        <w:tabs>
          <w:tab w:val="num" w:pos="540"/>
        </w:tabs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540" w:hanging="279"/>
        <w:tabs>
          <w:tab w:val="num" w:pos="540"/>
        </w:tabs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60" w:lineRule="auto" w:line="320"/>
      <w:jc w:val="both"/>
    </w:pPr>
    <w:rPr>
      <w:rFonts w:ascii="Calibri" w:hAnsi="Calibri" w:eastAsia="Calibri" w:cs="Calibri" w:hint="eastAsia"/>
      <w:color w:val="111827"/>
      <w:sz w:val="22"/>
    </w:rPr>
  </w:style>
  <w:style w:styleId="BodyText" w:type="paragraph">
    <w:name w:val="Body Text"/>
    <w:basedOn w:val="Normal"/>
    <w:link w:val="BodyTextChar"/>
    <w:qFormat/>
    <w:pPr>
      <w:spacing w:after="160" w:before="0" w:lineRule="auto" w:line="320"/>
      <w:jc w:val="both"/>
    </w:pPr>
    <w:rPr>
      <w:rFonts w:ascii="Calibri" w:hAnsi="Calibri" w:eastAsia="Calibri" w:cs="Calibri" w:hint="eastAsia"/>
      <w:color w:val="111827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 w:lineRule="auto" w:line="320"/>
      <w:jc w:val="both"/>
    </w:pPr>
    <w:rPr>
      <w:rFonts w:ascii="Calibri" w:hAnsi="Calibri" w:eastAsia="Calibri" w:cs="Calibri" w:hint="eastAsia"/>
      <w:color w:val="111827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00" w:line="240" w:lineRule="auto" w:before="0"/>
      <w:contextualSpacing/>
      <w:jc w:val="left"/>
    </w:pPr>
    <w:rPr>
      <w:rFonts w:asciiTheme="majorHAnsi" w:cstheme="majorBidi" w:eastAsiaTheme="majorEastAsia" w:hAnsiTheme="majorHAnsi" w:ascii="Calibri" w:hAnsi="Calibri" w:eastAsia="Calibri" w:cs="Calibri" w:hint="eastAsia"/>
      <w:b/>
      <w:color w:val="0B2545"/>
      <w:sz w:val="4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Calibri" w:hAnsi="Calibri" w:eastAsia="Calibri" w:cs="Calibri" w:hint="eastAsia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 w:eastAsia="Calibri" w:cs="Calibri" w:hint="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Calibri" w:hAnsi="Calibri" w:eastAsia="Calibri" w:cs="Calibri" w:hint="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Calibri" w:hAnsi="Calibri" w:eastAsia="Calibri" w:cs="Calibri" w:hint="eastAsia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Calibri" w:hAnsi="Calibri" w:eastAsia="Calibri" w:cs="Calibri" w:hint="eastAsia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Calibri" w:hAnsi="Calibri" w:eastAsia="Calibri" w:cs="Calibri" w:hint="eastAsi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Calibri" w:hAnsi="Calibri" w:eastAsia="Calibri" w:cs="Calibri" w:hint="eastAsia"/>
    </w:rPr>
  </w:style>
  <w:style w:styleId="Bibliography" w:type="paragraph">
    <w:name w:val="Bibliography"/>
    <w:basedOn w:val="Normal"/>
    <w:next w:val="Bibliography"/>
    <w:qFormat/>
    <w:pPr>
      <w:spacing w:before="0" w:after="80" w:lineRule="auto" w:line="276"/>
      <w:ind w:left="360" w:hanging="360"/>
    </w:pPr>
    <w:rPr>
      <w:rFonts w:ascii="Calibri" w:hAnsi="Calibri" w:eastAsia="Calibri" w:cs="Calibri" w:hint="eastAsia"/>
      <w:color w:val="1F2937"/>
      <w:sz w:val="19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Rule="auto" w:line="240"/>
      <w:outlineLvl w:val="0"/>
    </w:pPr>
    <w:rPr>
      <w:rFonts w:asciiTheme="majorHAnsi" w:cstheme="majorBidi" w:eastAsiaTheme="majorEastAsia" w:hAnsiTheme="majorHAnsi" w:ascii="Calibri" w:hAnsi="Calibri" w:eastAsia="Calibri" w:cs="Calibri" w:hint="eastAsia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Rule="auto" w:line="240"/>
      <w:outlineLvl w:val="1"/>
    </w:pPr>
    <w:rPr>
      <w:rFonts w:asciiTheme="majorHAnsi" w:cstheme="majorBidi" w:eastAsiaTheme="majorEastAsia" w:hAnsiTheme="majorHAnsi" w:ascii="Calibri" w:hAnsi="Calibri" w:eastAsia="Calibri" w:cs="Calibri" w:hint="eastAsia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Rule="auto" w:line="240"/>
      <w:outlineLvl w:val="2"/>
    </w:pPr>
    <w:rPr>
      <w:rFonts w:cstheme="majorBidi" w:eastAsiaTheme="majorEastAsia" w:ascii="Calibri" w:hAnsi="Calibri" w:eastAsia="Calibri" w:cs="Calibri" w:hint="eastAsia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Calibri" w:cs="Calibri" w:hint="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Calibri" w:cs="Calibri" w:hint="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Calibri" w:cs="Calibri" w:hint="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Calibri" w:hAnsi="Calibri" w:eastAsia="Calibri" w:cs="Calibri" w:hint="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Calibri" w:hAnsi="Calibri" w:eastAsia="Calibri" w:cs="Calibri" w:hint="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Calibri" w:hAnsi="Calibri" w:eastAsia="Calibri" w:cs="Calibri" w:hint="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Calibri" w:hAnsi="Calibri" w:eastAsia="Calibri" w:cs="Calibri" w:hint="eastAsia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Calibri" w:hAnsi="Calibri" w:eastAsia="Calibri" w:cs="Calibri" w:hint="eastAsia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Calibri" w:hAnsi="Calibri" w:eastAsia="Calibri" w:cs="Calibri" w:hint="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Calibri" w:hAnsi="Calibri" w:eastAsia="Calibri" w:cs="Calibri" w:hint="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Calibri" w:hAnsi="Calibri" w:eastAsia="Calibri" w:cs="Calibri" w:hint="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Calibri" w:hAnsi="Calibri" w:eastAsia="Calibri" w:cs="Calibri" w:hint="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Calibri" w:hAnsi="Calibri" w:eastAsia="Calibri" w:cs="Calibri" w:hint="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Calibri" w:hAnsi="Calibri" w:eastAsia="Calibri" w:cs="Calibri" w:hint="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Calibri" w:hAnsi="Calibri" w:eastAsia="Calibri" w:cs="Calibri" w:hint="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80" w:lineRule="auto" w:line="300"/>
      <w:ind w:firstLine="0" w:left="259" w:right="115"/>
    </w:pPr>
    <w:rPr>
      <w:rFonts w:ascii="Calibri" w:hAnsi="Calibri" w:eastAsia="Calibri" w:cs="Calibri" w:hint="eastAsia"/>
      <w:color w:val="374151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Calibri" w:hAnsi="Calibri" w:eastAsia="Calibri" w:cs="Calibri" w:hint="eastAsia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160" w:before="100" w:lineRule="auto" w:line="276"/>
      <w:jc w:val="center"/>
    </w:pPr>
    <w:rPr>
      <w:rFonts w:ascii="Calibri" w:hAnsi="Calibri" w:eastAsia="Calibri" w:cs="Calibri" w:hint="eastAsia"/>
      <w:i/>
      <w:color w:val="5B6573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 w:eastAsia="Calibri" w:cs="Calibri" w:hint="eastAsi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Calibri" w:hAnsi="Calibri" w:eastAsia="Calibri" w:cs="Calibri" w:hint="eastAsia"/>
    </w:rPr>
  </w:style>
  <w:style w:styleId="Hyperlink" w:type="character">
    <w:name w:val="Hyperlink"/>
    <w:basedOn w:val="BodyTextChar"/>
    <w:rPr>
      <w:color w:themeColor="accent1" w:val="4F81BD"/>
      <w:rFonts w:ascii="Calibri" w:hAnsi="Calibri" w:eastAsia="Calibri" w:cs="Calibri" w:hint="eastAsi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 w:cs="Calibri" w:hint="eastAs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Calibri" w:hAnsi="Calibri" w:eastAsia="Calibri" w:cs="Calibri" w:hint="eastAsia"/>
    </w:rPr>
  </w:style>
  <w:style w:type="character" w:customStyle="1" w:styleId="DataTypeTok">
    <w:name w:val="DataTypeTok"/>
    <w:basedOn w:val="VerbatimChar"/>
    <w:rPr>
      <w:color w:val="902000"/>
      <w:rFonts w:ascii="Calibri" w:hAnsi="Calibri" w:eastAsia="Calibri" w:cs="Calibri" w:hint="eastAsia"/>
    </w:rPr>
  </w:style>
  <w:style w:type="character" w:customStyle="1" w:styleId="DecValTok">
    <w:name w:val="DecValTok"/>
    <w:basedOn w:val="VerbatimChar"/>
    <w:rPr>
      <w:color w:val="40a070"/>
      <w:rFonts w:ascii="Calibri" w:hAnsi="Calibri" w:eastAsia="Calibri" w:cs="Calibri" w:hint="eastAsia"/>
    </w:rPr>
  </w:style>
  <w:style w:type="character" w:customStyle="1" w:styleId="BaseNTok">
    <w:name w:val="BaseNTok"/>
    <w:basedOn w:val="VerbatimChar"/>
    <w:rPr>
      <w:color w:val="40a070"/>
      <w:rFonts w:ascii="Calibri" w:hAnsi="Calibri" w:eastAsia="Calibri" w:cs="Calibri" w:hint="eastAsia"/>
    </w:rPr>
  </w:style>
  <w:style w:type="character" w:customStyle="1" w:styleId="FloatTok">
    <w:name w:val="FloatTok"/>
    <w:basedOn w:val="VerbatimChar"/>
    <w:rPr>
      <w:color w:val="40a070"/>
      <w:rFonts w:ascii="Calibri" w:hAnsi="Calibri" w:eastAsia="Calibri" w:cs="Calibri" w:hint="eastAsia"/>
    </w:rPr>
  </w:style>
  <w:style w:type="character" w:customStyle="1" w:styleId="ConstantTok">
    <w:name w:val="ConstantTok"/>
    <w:basedOn w:val="VerbatimChar"/>
    <w:rPr>
      <w:color w:val="880000"/>
      <w:rFonts w:ascii="Calibri" w:hAnsi="Calibri" w:eastAsia="Calibri" w:cs="Calibri" w:hint="eastAsia"/>
    </w:rPr>
  </w:style>
  <w:style w:type="character" w:customStyle="1" w:styleId="CharTok">
    <w:name w:val="CharTok"/>
    <w:basedOn w:val="VerbatimChar"/>
    <w:rPr>
      <w:color w:val="4070a0"/>
      <w:rFonts w:ascii="Calibri" w:hAnsi="Calibri" w:eastAsia="Calibri" w:cs="Calibri" w:hint="eastAsia"/>
    </w:rPr>
  </w:style>
  <w:style w:type="character" w:customStyle="1" w:styleId="SpecialCharTok">
    <w:name w:val="SpecialCharTok"/>
    <w:basedOn w:val="VerbatimChar"/>
    <w:rPr>
      <w:color w:val="4070a0"/>
      <w:rFonts w:ascii="Calibri" w:hAnsi="Calibri" w:eastAsia="Calibri" w:cs="Calibri" w:hint="eastAsia"/>
    </w:rPr>
  </w:style>
  <w:style w:type="character" w:customStyle="1" w:styleId="StringTok">
    <w:name w:val="StringTok"/>
    <w:basedOn w:val="VerbatimChar"/>
    <w:rPr>
      <w:color w:val="4070a0"/>
      <w:rFonts w:ascii="Calibri" w:hAnsi="Calibri" w:eastAsia="Calibri" w:cs="Calibri" w:hint="eastAsia"/>
    </w:rPr>
  </w:style>
  <w:style w:type="character" w:customStyle="1" w:styleId="VerbatimStringTok">
    <w:name w:val="VerbatimStringTok"/>
    <w:basedOn w:val="VerbatimChar"/>
    <w:rPr>
      <w:color w:val="4070a0"/>
      <w:rFonts w:ascii="Calibri" w:hAnsi="Calibri" w:eastAsia="Calibri" w:cs="Calibri" w:hint="eastAsia"/>
    </w:rPr>
  </w:style>
  <w:style w:type="character" w:customStyle="1" w:styleId="SpecialStringTok">
    <w:name w:val="SpecialStringTok"/>
    <w:basedOn w:val="VerbatimChar"/>
    <w:rPr>
      <w:color w:val="bb6688"/>
      <w:rFonts w:ascii="Calibri" w:hAnsi="Calibri" w:eastAsia="Calibri" w:cs="Calibri" w:hint="eastAsia"/>
    </w:rPr>
  </w:style>
  <w:style w:type="character" w:customStyle="1" w:styleId="ImportTok">
    <w:name w:val="ImportTok"/>
    <w:basedOn w:val="VerbatimChar"/>
    <w:rPr>
      <w:b/>
      <w:color w:val="008000"/>
      <w:rFonts w:ascii="Calibri" w:hAnsi="Calibri" w:eastAsia="Calibri" w:cs="Calibri" w:hint="eastAsia"/>
    </w:rPr>
  </w:style>
  <w:style w:type="character" w:customStyle="1" w:styleId="CommentTok">
    <w:name w:val="CommentTok"/>
    <w:basedOn w:val="VerbatimChar"/>
    <w:rPr>
      <w:i/>
      <w:color w:val="60a0b0"/>
      <w:rFonts w:ascii="Calibri" w:hAnsi="Calibri" w:eastAsia="Calibri" w:cs="Calibri" w:hint="eastAsia"/>
    </w:rPr>
  </w:style>
  <w:style w:type="character" w:customStyle="1" w:styleId="DocumentationTok">
    <w:name w:val="DocumentationTok"/>
    <w:basedOn w:val="VerbatimChar"/>
    <w:rPr>
      <w:i/>
      <w:color w:val="ba2121"/>
      <w:rFonts w:ascii="Calibri" w:hAnsi="Calibri" w:eastAsia="Calibri" w:cs="Calibri" w:hint="eastAsia"/>
    </w:rPr>
  </w:style>
  <w:style w:type="character" w:customStyle="1" w:styleId="AnnotationTok">
    <w:name w:val="AnnotationTok"/>
    <w:basedOn w:val="VerbatimChar"/>
    <w:rPr>
      <w:b/>
      <w:i/>
      <w:color w:val="60a0b0"/>
      <w:rFonts w:ascii="Calibri" w:hAnsi="Calibri" w:eastAsia="Calibri" w:cs="Calibri" w:hint="eastAsia"/>
    </w:rPr>
  </w:style>
  <w:style w:type="character" w:customStyle="1" w:styleId="CommentVarTok">
    <w:name w:val="CommentVarTok"/>
    <w:basedOn w:val="VerbatimChar"/>
    <w:rPr>
      <w:b/>
      <w:i/>
      <w:color w:val="60a0b0"/>
      <w:rFonts w:ascii="Calibri" w:hAnsi="Calibri" w:eastAsia="Calibri" w:cs="Calibri" w:hint="eastAsia"/>
    </w:rPr>
  </w:style>
  <w:style w:type="character" w:customStyle="1" w:styleId="OtherTok">
    <w:name w:val="OtherTok"/>
    <w:basedOn w:val="VerbatimChar"/>
    <w:rPr>
      <w:color w:val="007020"/>
      <w:rFonts w:ascii="Calibri" w:hAnsi="Calibri" w:eastAsia="Calibri" w:cs="Calibri" w:hint="eastAsia"/>
    </w:rPr>
  </w:style>
  <w:style w:type="character" w:customStyle="1" w:styleId="FunctionTok">
    <w:name w:val="FunctionTok"/>
    <w:basedOn w:val="VerbatimChar"/>
    <w:rPr>
      <w:color w:val="06287e"/>
      <w:rFonts w:ascii="Calibri" w:hAnsi="Calibri" w:eastAsia="Calibri" w:cs="Calibri" w:hint="eastAsia"/>
    </w:rPr>
  </w:style>
  <w:style w:type="character" w:customStyle="1" w:styleId="VariableTok">
    <w:name w:val="VariableTok"/>
    <w:basedOn w:val="VerbatimChar"/>
    <w:rPr>
      <w:color w:val="19177c"/>
      <w:rFonts w:ascii="Calibri" w:hAnsi="Calibri" w:eastAsia="Calibri" w:cs="Calibri" w:hint="eastAsia"/>
    </w:rPr>
  </w:style>
  <w:style w:type="character" w:customStyle="1" w:styleId="ControlFlowTok">
    <w:name w:val="ControlFlowTok"/>
    <w:basedOn w:val="VerbatimChar"/>
    <w:rPr>
      <w:b/>
      <w:color w:val="007020"/>
      <w:rFonts w:ascii="Calibri" w:hAnsi="Calibri" w:eastAsia="Calibri" w:cs="Calibri" w:hint="eastAsia"/>
    </w:rPr>
  </w:style>
  <w:style w:type="character" w:customStyle="1" w:styleId="OperatorTok">
    <w:name w:val="OperatorTok"/>
    <w:basedOn w:val="VerbatimChar"/>
    <w:rPr>
      <w:color w:val="666666"/>
      <w:rFonts w:ascii="Calibri" w:hAnsi="Calibri" w:eastAsia="Calibri" w:cs="Calibri" w:hint="eastAsia"/>
    </w:rPr>
  </w:style>
  <w:style w:type="character" w:customStyle="1" w:styleId="BuiltInTok">
    <w:name w:val="BuiltInTok"/>
    <w:basedOn w:val="VerbatimChar"/>
    <w:rPr>
      <w:color w:val="008000"/>
      <w:rFonts w:ascii="Calibri" w:hAnsi="Calibri" w:eastAsia="Calibri" w:cs="Calibri" w:hint="eastAsia"/>
    </w:rPr>
  </w:style>
  <w:style w:type="character" w:customStyle="1" w:styleId="ExtensionTok">
    <w:name w:val="ExtensionTok"/>
    <w:basedOn w:val="VerbatimChar"/>
    <w:rPr>
      <w:rFonts w:ascii="Calibri" w:hAnsi="Calibri" w:eastAsia="Calibri" w:cs="Calibri" w:hint="eastAsia"/>
    </w:rPr>
  </w:style>
  <w:style w:type="character" w:customStyle="1" w:styleId="PreprocessorTok">
    <w:name w:val="PreprocessorTok"/>
    <w:basedOn w:val="VerbatimChar"/>
    <w:rPr>
      <w:color w:val="bc7a00"/>
      <w:rFonts w:ascii="Calibri" w:hAnsi="Calibri" w:eastAsia="Calibri" w:cs="Calibri" w:hint="eastAsia"/>
    </w:rPr>
  </w:style>
  <w:style w:type="character" w:customStyle="1" w:styleId="AttributeTok">
    <w:name w:val="AttributeTok"/>
    <w:basedOn w:val="VerbatimChar"/>
    <w:rPr>
      <w:color w:val="7d9029"/>
      <w:rFonts w:ascii="Calibri" w:hAnsi="Calibri" w:eastAsia="Calibri" w:cs="Calibri" w:hint="eastAsia"/>
    </w:rPr>
  </w:style>
  <w:style w:type="character" w:customStyle="1" w:styleId="RegionMarkerTok">
    <w:name w:val="RegionMarkerTok"/>
    <w:basedOn w:val="VerbatimChar"/>
    <w:rPr>
      <w:rFonts w:ascii="Calibri" w:hAnsi="Calibri" w:eastAsia="Calibri" w:cs="Calibri" w:hint="eastAsia"/>
    </w:rPr>
  </w:style>
  <w:style w:type="character" w:customStyle="1" w:styleId="InformationTok">
    <w:name w:val="InformationTok"/>
    <w:basedOn w:val="VerbatimChar"/>
    <w:rPr>
      <w:b/>
      <w:i/>
      <w:color w:val="60a0b0"/>
      <w:rFonts w:ascii="Calibri" w:hAnsi="Calibri" w:eastAsia="Calibri" w:cs="Calibri" w:hint="eastAsia"/>
    </w:rPr>
  </w:style>
  <w:style w:type="character" w:customStyle="1" w:styleId="WarningTok">
    <w:name w:val="WarningTok"/>
    <w:basedOn w:val="VerbatimChar"/>
    <w:rPr>
      <w:b/>
      <w:i/>
      <w:color w:val="60a0b0"/>
      <w:rFonts w:ascii="Calibri" w:hAnsi="Calibri" w:eastAsia="Calibri" w:cs="Calibri" w:hint="eastAsia"/>
    </w:rPr>
  </w:style>
  <w:style w:type="character" w:customStyle="1" w:styleId="AlertTok">
    <w:name w:val="AlertTok"/>
    <w:basedOn w:val="VerbatimChar"/>
    <w:rPr>
      <w:b/>
      <w:color w:val="ff0000"/>
      <w:rFonts w:ascii="Calibri" w:hAnsi="Calibri" w:eastAsia="Calibri" w:cs="Calibri" w:hint="eastAsia"/>
    </w:rPr>
  </w:style>
  <w:style w:type="character" w:customStyle="1" w:styleId="ErrorTok">
    <w:name w:val="ErrorTok"/>
    <w:basedOn w:val="VerbatimChar"/>
    <w:rPr>
      <w:b/>
      <w:color w:val="ff0000"/>
      <w:rFonts w:ascii="Calibri" w:hAnsi="Calibri" w:eastAsia="Calibri" w:cs="Calibri" w:hint="eastAsia"/>
    </w:rPr>
  </w:style>
  <w:style w:type="character" w:customStyle="1" w:styleId="NormalTok">
    <w:name w:val="NormalTok"/>
    <w:basedOn w:val="VerbatimChar"/>
    <w:rPr>
      <w:rFonts w:ascii="Calibri" w:hAnsi="Calibri" w:eastAsia="Calibri" w:cs="Calibri" w:hint="eastAsia"/>
    </w:rPr>
  </w:style>
  <w:style w:type="paragraph" w:customStyle="1" w:styleId="RouteCKicker">
    <w:name w:val="Route C Kicker"/>
    <w:basedOn w:val="Normal"/>
    <w:pPr>
      <w:keepNext/>
      <w:spacing w:before="0" w:after="100" w:lineRule="auto" w:line="240"/>
    </w:pPr>
    <w:rPr>
      <w:rFonts w:ascii="Calibri" w:hAnsi="Calibri" w:eastAsia="Calibri" w:cs="Calibri" w:hint="eastAsia"/>
      <w:b/>
      <w:color w:val="2E74B5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17" Type="http://schemas.openxmlformats.org/officeDocument/2006/relationships/image" Target="media/rId17.png"/><Relationship Id="rId98" Type="http://schemas.openxmlformats.org/officeDocument/2006/relationships/hyperlink" Target="https://63dac.conference-program.com/presentation/?id=RESEARCH2265\&amp;sess=sess108" TargetMode="External"/><Relationship Id="rId94" Type="http://schemas.openxmlformats.org/officeDocument/2006/relationships/hyperlink" Target="https://arxiv.org/abs/2209.06478" TargetMode="External"/><Relationship Id="rId64" Type="http://schemas.openxmlformats.org/officeDocument/2006/relationships/hyperlink" Target="https://arxiv.org/abs/2510.14894" TargetMode="External"/><Relationship Id="rId82" Type="http://schemas.openxmlformats.org/officeDocument/2006/relationships/hyperlink" Target="https://arxiv.org/abs/2604.04683" TargetMode="External"/><Relationship Id="rId76" Type="http://schemas.openxmlformats.org/officeDocument/2006/relationships/hyperlink" Target="https://doi.org/10.1007/978-3-319-41321-1_4" TargetMode="External"/><Relationship Id="rId72" Type="http://schemas.openxmlformats.org/officeDocument/2006/relationships/hyperlink" Target="https://doi.org/10.1007/978-3-662-44371-2_31" TargetMode="External"/><Relationship Id="rId84" Type="http://schemas.openxmlformats.org/officeDocument/2006/relationships/hyperlink" Target="https://doi.org/10.1007/s002360050048" TargetMode="External"/><Relationship Id="rId70" Type="http://schemas.openxmlformats.org/officeDocument/2006/relationships/hyperlink" Target="https://doi.org/10.1016/j.ins.2026.123180" TargetMode="External"/><Relationship Id="rId96" Type="http://schemas.openxmlformats.org/officeDocument/2006/relationships/hyperlink" Target="https://doi.org/10.1109/TKDE.2021.3126607" TargetMode="External"/><Relationship Id="rId90" Type="http://schemas.openxmlformats.org/officeDocument/2006/relationships/hyperlink" Target="https://doi.org/10.1109/TKDE.2022.3221148" TargetMode="External"/><Relationship Id="rId78" Type="http://schemas.openxmlformats.org/officeDocument/2006/relationships/hyperlink" Target="https://doi.org/10.1137/130930352" TargetMode="External"/><Relationship Id="rId88" Type="http://schemas.openxmlformats.org/officeDocument/2006/relationships/hyperlink" Target="https://doi.org/10.1145/3018661.3018731" TargetMode="External"/><Relationship Id="rId54" Type="http://schemas.openxmlformats.org/officeDocument/2006/relationships/hyperlink" Target="https://doi.org/10.1145/3133956.3133982" TargetMode="External"/><Relationship Id="rId74" Type="http://schemas.openxmlformats.org/officeDocument/2006/relationships/hyperlink" Target="https://doi.org/10.1145/3658644.3690281" TargetMode="External"/><Relationship Id="rId102" Type="http://schemas.openxmlformats.org/officeDocument/2006/relationships/hyperlink" Target="https://doi.org/10.1145/3719027.3765025" TargetMode="External"/><Relationship Id="rId68" Type="http://schemas.openxmlformats.org/officeDocument/2006/relationships/hyperlink" Target="https://doi.org/10.1145/3721146.3721948" TargetMode="External"/><Relationship Id="rId100" Type="http://schemas.openxmlformats.org/officeDocument/2006/relationships/hyperlink" Target="https://doi.org/10.1145/3797905.3807876" TargetMode="External"/><Relationship Id="rId62" Type="http://schemas.openxmlformats.org/officeDocument/2006/relationships/hyperlink" Target="https://doi.org/10.1145/3805621.3807642" TargetMode="External"/><Relationship Id="rId58" Type="http://schemas.openxmlformats.org/officeDocument/2006/relationships/hyperlink" Target="https://doi.org/10.3390/electronics15122517" TargetMode="External"/><Relationship Id="rId66" Type="http://schemas.openxmlformats.org/officeDocument/2006/relationships/hyperlink" Target="https://eprint.iacr.org/2012/144" TargetMode="External"/><Relationship Id="rId86" Type="http://schemas.openxmlformats.org/officeDocument/2006/relationships/hyperlink" Target="https://github.com/openfheorg/openfhe-development/tree/1306d14f8c26bb6150d3e6ad54f28dfe1007689e" TargetMode="External"/><Relationship Id="rId52" Type="http://schemas.openxmlformats.org/officeDocument/2006/relationships/hyperlink" Target="https://mgarland.org/files/papers/nvr-2008-004.pdf" TargetMode="External"/><Relationship Id="rId92" Type="http://schemas.openxmlformats.org/officeDocument/2006/relationships/hyperlink" Target="https://snap.stanford.edu/data/sx-stackoverflow.html" TargetMode="External"/><Relationship Id="rId56" Type="http://schemas.openxmlformats.org/officeDocument/2006/relationships/hyperlink" Target="https://www.ndss-symposium.org/ndss2014/ndss-2014-programme/dynamic-searchable-encryption-very-large-databases-data-structures-and-implementation/" TargetMode="External"/><Relationship Id="rId60" Type="http://schemas.openxmlformats.org/officeDocument/2006/relationships/hyperlink" Target="https://www.usenix.org/conference/osdi18/presentation/crooks" TargetMode="External"/><Relationship Id="rId80" Type="http://schemas.openxmlformats.org/officeDocument/2006/relationships/hyperlink" Target="https://www.usenix.org/conference/usenixsecurity24/presentation/liu-dongli" TargetMode="External"/><Relationship Id="rId51" Type="http://schemas.openxmlformats.org/officeDocument/2006/relationships/hyperlink" Target="references.bib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63dac.conference-program.com/presentation/?id=RESEARCH2265\&amp;sess=sess108" TargetMode="External"/><Relationship Id="rId94" Type="http://schemas.openxmlformats.org/officeDocument/2006/relationships/hyperlink" Target="https://arxiv.org/abs/2209.06478" TargetMode="External"/><Relationship Id="rId64" Type="http://schemas.openxmlformats.org/officeDocument/2006/relationships/hyperlink" Target="https://arxiv.org/abs/2510.14894" TargetMode="External"/><Relationship Id="rId82" Type="http://schemas.openxmlformats.org/officeDocument/2006/relationships/hyperlink" Target="https://arxiv.org/abs/2604.04683" TargetMode="External"/><Relationship Id="rId76" Type="http://schemas.openxmlformats.org/officeDocument/2006/relationships/hyperlink" Target="https://doi.org/10.1007/978-3-319-41321-1_4" TargetMode="External"/><Relationship Id="rId72" Type="http://schemas.openxmlformats.org/officeDocument/2006/relationships/hyperlink" Target="https://doi.org/10.1007/978-3-662-44371-2_31" TargetMode="External"/><Relationship Id="rId84" Type="http://schemas.openxmlformats.org/officeDocument/2006/relationships/hyperlink" Target="https://doi.org/10.1007/s002360050048" TargetMode="External"/><Relationship Id="rId70" Type="http://schemas.openxmlformats.org/officeDocument/2006/relationships/hyperlink" Target="https://doi.org/10.1016/j.ins.2026.123180" TargetMode="External"/><Relationship Id="rId96" Type="http://schemas.openxmlformats.org/officeDocument/2006/relationships/hyperlink" Target="https://doi.org/10.1109/TKDE.2021.3126607" TargetMode="External"/><Relationship Id="rId90" Type="http://schemas.openxmlformats.org/officeDocument/2006/relationships/hyperlink" Target="https://doi.org/10.1109/TKDE.2022.3221148" TargetMode="External"/><Relationship Id="rId78" Type="http://schemas.openxmlformats.org/officeDocument/2006/relationships/hyperlink" Target="https://doi.org/10.1137/130930352" TargetMode="External"/><Relationship Id="rId88" Type="http://schemas.openxmlformats.org/officeDocument/2006/relationships/hyperlink" Target="https://doi.org/10.1145/3018661.3018731" TargetMode="External"/><Relationship Id="rId54" Type="http://schemas.openxmlformats.org/officeDocument/2006/relationships/hyperlink" Target="https://doi.org/10.1145/3133956.3133982" TargetMode="External"/><Relationship Id="rId74" Type="http://schemas.openxmlformats.org/officeDocument/2006/relationships/hyperlink" Target="https://doi.org/10.1145/3658644.3690281" TargetMode="External"/><Relationship Id="rId102" Type="http://schemas.openxmlformats.org/officeDocument/2006/relationships/hyperlink" Target="https://doi.org/10.1145/3719027.3765025" TargetMode="External"/><Relationship Id="rId68" Type="http://schemas.openxmlformats.org/officeDocument/2006/relationships/hyperlink" Target="https://doi.org/10.1145/3721146.3721948" TargetMode="External"/><Relationship Id="rId100" Type="http://schemas.openxmlformats.org/officeDocument/2006/relationships/hyperlink" Target="https://doi.org/10.1145/3797905.3807876" TargetMode="External"/><Relationship Id="rId62" Type="http://schemas.openxmlformats.org/officeDocument/2006/relationships/hyperlink" Target="https://doi.org/10.1145/3805621.3807642" TargetMode="External"/><Relationship Id="rId58" Type="http://schemas.openxmlformats.org/officeDocument/2006/relationships/hyperlink" Target="https://doi.org/10.3390/electronics15122517" TargetMode="External"/><Relationship Id="rId66" Type="http://schemas.openxmlformats.org/officeDocument/2006/relationships/hyperlink" Target="https://eprint.iacr.org/2012/144" TargetMode="External"/><Relationship Id="rId86" Type="http://schemas.openxmlformats.org/officeDocument/2006/relationships/hyperlink" Target="https://github.com/openfheorg/openfhe-development/tree/1306d14f8c26bb6150d3e6ad54f28dfe1007689e" TargetMode="External"/><Relationship Id="rId52" Type="http://schemas.openxmlformats.org/officeDocument/2006/relationships/hyperlink" Target="https://mgarland.org/files/papers/nvr-2008-004.pdf" TargetMode="External"/><Relationship Id="rId92" Type="http://schemas.openxmlformats.org/officeDocument/2006/relationships/hyperlink" Target="https://snap.stanford.edu/data/sx-stackoverflow.html" TargetMode="External"/><Relationship Id="rId56" Type="http://schemas.openxmlformats.org/officeDocument/2006/relationships/hyperlink" Target="https://www.ndss-symposium.org/ndss2014/ndss-2014-programme/dynamic-searchable-encryption-very-large-databases-data-structures-and-implementation/" TargetMode="External"/><Relationship Id="rId60" Type="http://schemas.openxmlformats.org/officeDocument/2006/relationships/hyperlink" Target="https://www.usenix.org/conference/osdi18/presentation/crooks" TargetMode="External"/><Relationship Id="rId80" Type="http://schemas.openxmlformats.org/officeDocument/2006/relationships/hyperlink" Target="https://www.usenix.org/conference/usenixsecurity24/presentation/liu-dongli" TargetMode="External"/><Relationship Id="rId51" Type="http://schemas.openxmlformats.org/officeDocument/2006/relationships/hyperlink" Target="references.b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Version-Bound Maintenance for Mutable Homomorphic Sparse Matrix–Vector Multiplication: A Fail-Closed Evaluation Boundary</dc:title>
  <dc:creator/>
  <cp:keywords>homomorphic encryption; sparse matrix-vector multiplication; mutable sparse matrices; reproducible evaluation</cp:keywords>
  <dcterms:created xsi:type="dcterms:W3CDTF">2026-08-31T02:54:47Z</dcterms:created>
  <dcterms:modified xsi:type="dcterms:W3CDTF">2026-08-31T02:54:47Z</dcterms:modified>
  <cp:lastModifiedBy/>
  <dc:subject>Route C methods and evidence-boundary working manuscript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link-citations">
    <vt:lpwstr>True</vt:lpwstr>
  </property>
</Properties>
</file>