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X8c1a715672b91a2a57821cca8d271555e82f7d1"/>
    <w:p>
      <w:pPr>
        <w:pStyle w:val="RouteCKicker"/>
      </w:pPr>
      <w:r>
        <w:rPr>
          <w:rFonts w:ascii="Calibri" w:hAnsi="Calibri" w:eastAsia="Calibri" w:cs="Calibri" w:hint="eastAsia"/>
        </w:rPr>
        <w:t>ROUTE C • METHODS AND EVIDENCE-BOUNDARY WORKING MANUSCRIPT</w:t>
      </w:r>
    </w:p>
    <w:p>
      <w:pPr>
        <w:pStyle w:val="Title"/>
      </w:pPr>
      <w:r>
        <w:rPr>
          <w:rFonts w:ascii="Calibri" w:hAnsi="Calibri" w:eastAsia="Calibri" w:cs="Calibri" w:hint="eastAsia"/>
        </w:rPr>
        <w:t xml:space="preserve">Version-Bound Maintenance for Mutable Homomorphic Sparse Matrix–Vector Multiplication: A Fail-Closed Evaluation Boundary</w:t>
      </w:r>
    </w:p>
    <w:p>
      <w:pPr>
        <w:pStyle w:val="BlockText"/>
        <w:shd w:fill="F4F6F9"/>
        <w:pBdr>
          <w:left w:val="single" w:sz="18" w:space="8" w:color="2E74B5"/>
        </w:pBdr>
      </w:pPr>
      <w:r>
        <w:rPr>
          <w:rFonts w:ascii="Calibri" w:hAnsi="Calibri" w:eastAsia="Calibri" w:cs="Calibri" w:hint="eastAsia"/>
          <w:b/>
          <w:bCs/>
        </w:rPr>
        <w:t xml:space="preserve">Manuscript status: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methods/boundary working draft. The primary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one-shot qualification and a later, separately preregistered follow-up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selected their frozen stop routes. No comparative performance,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complete-reference, security, or end-to-end claim is released. Evidence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status last synchronized: 2026-08-31. A separately preregistered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current-source deterministic conformance replication passed for one exact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and one fixed OpenFHE fixture; its scope is stated below.</w:t>
      </w:r>
    </w:p>
    <w:bookmarkStart w:id="9" w:name="abstract"/>
    <w:p>
      <w:pPr>
        <w:pStyle w:val="Heading1"/>
      </w:pPr>
      <w:r>
        <w:rPr>
          <w:rFonts w:ascii="Calibri" w:hAnsi="Calibri" w:eastAsia="Calibri" w:cs="Calibri" w:hint="eastAsia"/>
        </w:rPr>
        <w:t xml:space="preserve">Abstract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Compressed sparse layouts make homomorphic sparse matrix–vector multiplication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practical for static patterns, but updates also change value placement, query-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reorganization metadata, and encrypted-output-to-row mappings.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recompression at each freshness boundary requires base-wide work; auxiliary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components trade publication work for query work and observable structure.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We present an update-aware layer around the published Compressed Sparse Sorted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(CSSC) representation. Freshness-bounded Publication Windows bind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to an immutable matrix version, global-column metadata, and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 reconstruction plan. For multi-component layouts, the 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distinguishes overlaps from disjoint blocks and drives overlap-scoped one-time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masking with persistent no-reuse bindings. A fixed-segment delta lets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execute a public page-wide schedule while the client privately merges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 leaders. A typed bundle binds the CSSC base, delta, operands, routes,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operation graph and fails closed on version or plan substitution.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frozen evaluation protocol was specified to compare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 under the same versioned event streams, query schedules, public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parameters, and initial states. An admitted execution would have separated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state-transition costs, exact typed operation counts, type-derived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serialized-byte bounds, a narrowly registered query-linearity projection,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native OpenFHE observations. The frozen matrix specified six synthetic shards,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four ordered-event shards derived from one SNAP source object, and six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cases. Independent replay and terminal admission would have had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 exactly the resulting 17 pre-aggregate artifacts before analysis could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release any empirical sentence.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primary preregistered, permanently non-admissible qualification did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reach its combined guard within the frozen computational deadline. A later,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preregistered follow-up passed five exact-S2 authority-false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controls, but its sole provider run was cancelled during hosted-runner setup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after the external controller could not establish the watcher-admission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binding. No repository checkout, registered-seed step, scientific stage,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occurred. Under the frozen one-shot rules, both paths terminated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formal-dispatch capability; the acquisition and 16-unit formal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campaign were not started. Without reopening either performance lineage,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preregistered current-source functional replication subsequently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its eight-case, 35-record deterministic contract and one fixed pinned-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whole-query witness. The witness decrypted to the prespecified sparse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vector and matched two independent plaintext oracles. We report the protocol,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definition-level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obligations, the source/evidence separation, and these fail-closed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evaluation boundaries, plus that version-bound single-fixture result. We do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convert partial qualification execution, runner setup, prerequisite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controls, or the conformance witness into strategy-cost or native-OpenFHE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 evidence.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Keywords: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encryption; sparse matrix–vector multiplication;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mutable sparse matrices; cryptographic engineering; reproducible evaluation</w:t>
      </w:r>
    </w:p>
    <w:bookmarkEnd w:id="9"/>
    <w:bookmarkStart w:id="11" w:name="introduction"/>
    <w:p>
      <w:pPr>
        <w:pStyle w:val="Heading1"/>
      </w:pPr>
      <w:r>
        <w:rPr>
          <w:rFonts w:ascii="Calibri" w:hAnsi="Calibri" w:eastAsia="Calibri" w:cs="Calibri" w:hint="eastAsia"/>
        </w:rPr>
        <w:t xml:space="preserve">1. Introduction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Encrypted sparse linear algebra sits at an awkward boundary between cryptography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data layout. Homomorphic encryption hides values but makes data movement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permutation expensive. Sparse formats reduce arithmetic on zeros, yet they also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turn a matrix’s support into layout metadata and require a client to align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with physical value lanes. CSSC addresses the static case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sorting rows, packing capacity-fitting rectangles, and retaining the metadata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needed to recover logical outputs. Its own stated limitation is a static sparse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pattern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 mutable matrix cannot be handled by changing values alone. An insertion may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consume padding, create an overflow component, change a row permutation, or force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new query-reorganization metadata. A deletion may leave reusable physical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capacity without changing the logical matrix dimension. Meanwhile, a query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combine a new matrix component with an old column-index array or reconstruct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shares using a plan from another version. These are system-level consistency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requirements, not details of the underlying homomorphic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naive policy republishes a fully recompressed CSSC layout after every batch.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Alternative policies retain slack, patch local regions, append a delta,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periodically fold auxiliary state into the base. Their relative merit depends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update/query ratio, freshness deadline, layout history, communication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bandwidth, and the exact encrypted output path. Evaluating each window from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fresh initial layout, selecting with held-out information, or omitting returned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 and masking work can confound a comparison.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paper therefore asks a narrower, auditable question: how should mutable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state be published, queried, reconstructed, and compared without breaking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 semantics or overstating evidence?</w:t>
      </w:r>
    </w:p>
    <w:bookmarkStart w:id="10" w:name="contributions"/>
    <w:p>
      <w:pPr>
        <w:pStyle w:val="Heading2"/>
      </w:pPr>
      <w:r>
        <w:rPr>
          <w:rFonts w:ascii="Calibri" w:hAnsi="Calibri" w:eastAsia="Calibri" w:cs="Calibri" w:hint="eastAsia"/>
        </w:rP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Version-bound publication semantics.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Publication Windows and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rule that binds logical state, CSSC components, global-column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metadata, the reconstruction plan, and prepared queries to one version.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Explicit multi-component reconstruction.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introduce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distinguishes overlap summation,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block concatenation, and implicit zeros.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Scoped masking integration.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derive overlap-only F1-M operands from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 and bind every random mask to a persistent, reserve-before-sample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five-field identity. The underlying canceling-mask idea is prior art;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claimed here is its versioned CSSC integration.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A designated strong fixed-segment reference path.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segment/page shapes, cloud-side leader reduction, private leader merging,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deterministic whole-query execution bundle. We do not claim a new 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primitive or a formal security proof.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Causal, fail-closed evaluation.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freeze three strategy identities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train an online selector, advance independent states through identical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deterministic streams, separate measured and projected quantities, and bind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reportable claim to independently replayed, digest-addressed evidence.</w:t>
      </w:r>
    </w:p>
    <w:bookmarkEnd w:id="10"/>
    <w:bookmarkEnd w:id="11"/>
    <w:bookmarkStart w:id="15" w:name="background-and-related-work"/>
    <w:p>
      <w:pPr>
        <w:pStyle w:val="Heading1"/>
      </w:pPr>
      <w:r>
        <w:rPr>
          <w:rFonts w:ascii="Calibri" w:hAnsi="Calibri" w:eastAsia="Calibri" w:cs="Calibri" w:hint="eastAsia"/>
        </w:rPr>
        <w:t xml:space="preserve">2. Background and Related Work</w:t>
      </w:r>
    </w:p>
    <w:bookmarkStart w:id="12" w:name="Xf192f6218c5ab8cd0bc1f5efb4b9879906b11dd"/>
    <w:p>
      <w:pPr>
        <w:pStyle w:val="Heading2"/>
      </w:pPr>
      <w:r>
        <w:rPr>
          <w:rFonts w:ascii="Calibri" w:hAnsi="Calibri" w:eastAsia="Calibri" w:cs="Calibri" w:hint="eastAsia"/>
        </w:rPr>
        <w:t xml:space="preserve">2.1 Static encrypted sparse matrix–vector multiplication</w:t>
      </w:r>
    </w:p>
    <w:p>
      <w:pPr>
        <w:pStyle w:val="FirstParagraph"/>
        <w:jc w:val="left"/>
      </w:pPr>
      <w:r>
        <w:rPr>
          <w:rFonts w:ascii="Calibri" w:hAnsi="Calibri" w:eastAsia="Calibri" w:cs="Calibri" w:hint="eastAsia"/>
        </w:rPr>
        <w:t xml:space="preserve">CSSC is the direct substrate of this work and must be credited for row sorting,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left-aligned sparse rectangles,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Value</w:t>
      </w:r>
      <w:r>
        <w:rPr>
          <w:rFonts w:ascii="Calibri" w:hAnsi="Calibri" w:eastAsia="Calibri" w:cs="Calibri" w:hint="eastAsia"/>
        </w:rPr>
        <w:t xml:space="preserve">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, chunked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reorganization, and static aggregation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Our implementation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independent pseudocode-derived reconstruction; we did not use or verify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author implementation. Static encrypted sparse linear algebra already spans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Lodia’s low-diagonal SpMV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yu2025lodia">
        <w:r>
          <w:rPr>
            <w:rStyle w:val="Hyperlink"/>
          </w:rPr>
          <w:t xml:space="preserve">Yu et al. 2025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CipherSkip’s encrypted-value-and-index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arbitrary-shape SpGEMM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xiong2026cipherskip">
        <w:r>
          <w:rPr>
            <w:rStyle w:val="Hyperlink"/>
          </w:rPr>
          <w:t xml:space="preserve">Xiong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diagonal-packing reordering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mutluergil2026diagonal">
        <w:r>
          <w:rPr>
            <w:rStyle w:val="Hyperlink"/>
          </w:rPr>
          <w:t xml:space="preserve">Mutluergil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ciphertext–ciphertext SpMSpM on CPU and 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erguson2025unstructured">
        <w:r>
          <w:rPr>
            <w:rStyle w:val="Hyperlink"/>
          </w:rPr>
          <w:t xml:space="preserve">Ferguson et al. 2025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dagata2026gpu">
        <w:r>
          <w:rPr>
            <w:rStyle w:val="Hyperlink"/>
          </w:rPr>
          <w:t xml:space="preserve">D’Agata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the encrypted-index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Scatter–Gather–Apply design reported by the public SparseE program abstract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wei2026sparsee">
        <w:r>
          <w:rPr>
            <w:rStyle w:val="Hyperlink"/>
          </w:rPr>
          <w:t xml:space="preserve">Wei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Rhombus separately shows plaintext-matrix/encrypted-vector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two-party MVM with additive output shares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e2024rhombus">
        <w:r>
          <w:rPr>
            <w:rStyle w:val="Hyperlink"/>
          </w:rPr>
          <w:t xml:space="preserve">He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These works rule out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broad claims of first encrypted indices, first sparsity-aware FHE multiplication,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first ciphertext–ciphertext sparse multiplication, or first use of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sharing to split an MVM output.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Our claimed gap is the narrower mutable CSSC publication and reconstruction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contract; it is not a new static packing or cryptographic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source audit of CSSC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finds a non-power-of-two ambiguity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printed aggregation pseudocode. We use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corrected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-compatible stored-power/prefix graph that preserves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paper-derived abstract count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floor(log2 w) + popcount(w) - 1</w:t>
      </w:r>
      <w:r>
        <w:rPr>
          <w:rFonts w:ascii="Calibri" w:hAnsi="Calibri" w:eastAsia="Calibri" w:cs="Calibri" w:hint="eastAsia"/>
        </w:rPr>
        <w:t xml:space="preserve">. We present this as a compatibility correction,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new aggregation algorithm or verified author-code behavior; the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connection is grounded in the HElib SIMD reduction literature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alevi2014algorithms">
        <w:r>
          <w:rPr>
            <w:rStyle w:val="Hyperlink"/>
          </w:rPr>
          <w:t xml:space="preserve">Halevi and Shoup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closest methods are not interchangeable experimental baselines.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1. Closest method families and the boundary of this work.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Principal representation or setting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Mutable support?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Relation to this paper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CSSC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gao2026cssc">
              <w:r>
                <w:rPr>
                  <w:rStyle w:val="Hyperlink"/>
                </w:rPr>
                <w:t xml:space="preserve">Gao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Sparse-coordinate compression with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ColumnIndex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/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RowMap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Direct static substrate; its published layout and reorganization are not our contribution.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Lodia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yu2025lodia">
              <w:r>
                <w:rPr>
                  <w:rStyle w:val="Hyperlink"/>
                </w:rPr>
                <w:t xml:space="preserve">Yu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Low-diagonal decomposition for batched FHE SpMV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earlier sparsity-aware encrypted SpMV; different decomposition and leakage/cost interface.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CipherSkip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xiong2026cipherskip">
              <w:r>
                <w:rPr>
                  <w:rStyle w:val="Hyperlink"/>
                </w:rPr>
                <w:t xml:space="preserve">Xiong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 values and indices for arbitrary-shape SpGEMM and chained products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 matrix-state publication protocol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Its server-side alignment concerns encrypted intermediate products, not insert/delete/update of a published sparse layout.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SparseE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wei2026sparsee">
              <w:r>
                <w:rPr>
                  <w:rStyle w:val="Hyperlink"/>
                </w:rPr>
                <w:t xml:space="preserve">Wei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Encrypted-index Scatter–Gather–Apply with a permutation/expansion accelerator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established by the public descriptions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an encrypted-index hardware co-design boundary; as of 2026-08-30, an official program abstract and a BUAA institutional summary were public, but no public full text, DOI, or public software repository was located.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Diagonal Packing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mutluergil2026diagonal">
              <w:r>
                <w:rPr>
                  <w:rStyle w:val="Hyperlink"/>
                </w:rPr>
                <w:t xml:space="preserve">Mutluergil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Row/column reordering to reduce occupied cyclic diagonals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HE-aware static compiler optimization; no mutable CSSC publication or reconstruction is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Ferguson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ferguson2025unstructured">
              <w:r>
                <w:rPr>
                  <w:rStyle w:val="Hyperlink"/>
                </w:rPr>
                <w:t xml:space="preserve">Ferguson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Demonstrates prior FHE sparsity exploitation under a PPML workload; different operation, scheme, and small square matrices.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D’Agata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gata2026gpu">
              <w:r>
                <w:rPr>
                  <w:rStyle w:val="Hyperlink"/>
                </w:rPr>
                <w:t xml:space="preserve">D’Agata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GPU/FIDESlib 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Extends the same static design space to GPU execution; a dynamic SpMV publication protocol is not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Rhombus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he2024rhombus">
              <w:r>
                <w:rPr>
                  <w:rStyle w:val="Hyperlink"/>
                </w:rPr>
                <w:t xml:space="preserve">He et al. 2024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Plaintext-matrix/encrypted-vector MVM with additive output shares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A different two-party PPML protocol; the random-share primitive is prior art, while versioned overlap binding is our narrower integration claim.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Damie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mie2025secure">
              <w:r>
                <w:rPr>
                  <w:rStyle w:val="Hyperlink"/>
                </w:rPr>
                <w:t xml:space="preserve">Damie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Secret-shared sparse matrix multiplication in MPC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Shows secure sparse arithmetic outside FHE; incomparable without a common threat and cost model.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This 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Version-bound CSSC base plus designated maintenance components; formal evaluation stopped at qualification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Yes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Studies publication, query recompilation, private reconstruction, and causal-cost contracts; claims no static-format, primitive, or comparative-performance novelty.</w:t>
            </w:r>
          </w:p>
        </w:tc>
      </w:tr>
    </w:tbl>
    <w:bookmarkEnd w:id="12"/>
    <w:bookmarkStart w:id="13" w:name="mutable-sparse-layouts"/>
    <w:p>
      <w:pPr>
        <w:pStyle w:val="Heading2"/>
      </w:pPr>
      <w:r>
        <w:rPr>
          <w:rFonts w:ascii="Calibri" w:hAnsi="Calibri" w:eastAsia="Calibri" w:cs="Calibri" w:hint="eastAsia"/>
        </w:rPr>
        <w:t xml:space="preserve">2.2 Mutable sparse layouts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Reserved slack, padding reuse, COO/HYB overflow, row-local growth, base/delta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organization, periodic compaction, and format selection all have substantial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plaintext sparse-matrix and storage-system precedent, including SELL-C-sigma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reutzer2014sellcsigma">
        <w:r>
          <w:rPr>
            <w:rStyle w:val="Hyperlink"/>
          </w:rPr>
          <w:t xml:space="preserve">Kreutzer et al.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GPU HYB/COO practice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ell2008spmvcuda">
        <w:r>
          <w:rPr>
            <w:rStyle w:val="Hyperlink"/>
          </w:rPr>
          <w:t xml:space="preserve">Bell and Garland 2008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LSM-trees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neil1996lsm">
        <w:r>
          <w:rPr>
            <w:rStyle w:val="Hyperlink"/>
          </w:rPr>
          <w:t xml:space="preserve">O’Neil et al. 1996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Dynamic-CSR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ing2016dynamiccsr">
        <w:r>
          <w:rPr>
            <w:rStyle w:val="Hyperlink"/>
          </w:rPr>
          <w:t xml:space="preserve">King et al. 2016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dynamic format selection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tylianou2022morpheus">
        <w:r>
          <w:rPr>
            <w:rStyle w:val="Hyperlink"/>
          </w:rPr>
          <w:t xml:space="preserve">Stylianou and Weiland 2022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are comparison families in this paper,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independent novelty claims. Our narrower concern is their interaction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preparation, version consistency, private reconstruction,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cost accounting.</w:t>
      </w:r>
    </w:p>
    <w:bookmarkEnd w:id="13"/>
    <w:bookmarkStart w:id="14" w:name="X9b1768acbbaa41c0e82baa6538a32ffe9efe6af"/>
    <w:p>
      <w:pPr>
        <w:pStyle w:val="Heading2"/>
      </w:pPr>
      <w:r>
        <w:rPr>
          <w:rFonts w:ascii="Calibri" w:hAnsi="Calibri" w:eastAsia="Calibri" w:cs="Calibri" w:hint="eastAsia"/>
        </w:rPr>
        <w:t xml:space="preserve">2.3 Dynamic encrypted data systems and masking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Dynamic SSE, encrypted databases, ShieldDB, and oblivious transaction systems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already study updates, client state, epochs, padding, and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ash2014dynamic">
        <w:r>
          <w:rPr>
            <w:rStyle w:val="Hyperlink"/>
          </w:rPr>
          <w:t xml:space="preserve">Cash et al. 2014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vo2021shielddb">
        <w:r>
          <w:rPr>
            <w:rStyle w:val="Hyperlink"/>
          </w:rPr>
          <w:t xml:space="preserve">Vo et al. 2023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crooks2018obladi">
        <w:r>
          <w:rPr>
            <w:rStyle w:val="Hyperlink"/>
          </w:rPr>
          <w:t xml:space="preserve">Crooks et al. 2018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do not instantiate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same ciphertext–ciphertext CSSC query, but they prevent broad claims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batching or versioned updates are new. d-DSE directly shows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update-volume leakage remains a separate problem and that padding can impose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large storage and communication costs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liu2024ddse">
        <w:r>
          <w:rPr>
            <w:rStyle w:val="Hyperlink"/>
          </w:rPr>
          <w:t xml:space="preserve">Liu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CKKS-Auth Tree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versioned root commitments and timestamps to detect stale or replayed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verification objects after encrypted-metadata updates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hen2026ckksauthtree">
        <w:r>
          <w:rPr>
            <w:rStyle w:val="Hyperlink"/>
          </w:rPr>
          <w:t xml:space="preserve">Chen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Neither work implements mutable SpMV, but together they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rule out novelty claims for volume hiding, versioned commitments, freshness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checks, or replay rejection in isolation. Fixed segments, dummy work,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visible schedules are therefore described through an explicit leakage surface,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generic update-leakage solution.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Canceling one-time masks also predate this work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onawitz2017secureagg">
        <w:r>
          <w:rPr>
            <w:rStyle w:val="Hyperlink"/>
          </w:rPr>
          <w:t xml:space="preserve">Bonawitz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We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therefore state the exact leakage and recipient roles and avoid the terms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simulation-secure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prevents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separate proof.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database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 also predate this work and delimit any claim about encrypted mutability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parbat2023authorized">
        <w:r>
          <w:rPr>
            <w:rStyle w:val="Hyperlink"/>
          </w:rPr>
          <w:t xml:space="preserve">Parbat and Chatterjee 2023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bookmarkEnd w:id="14"/>
    <w:bookmarkEnd w:id="15"/>
    <w:bookmarkStart w:id="16" w:name="system-and-threat-model"/>
    <w:p>
      <w:pPr>
        <w:pStyle w:val="Heading1"/>
      </w:pPr>
      <w:r>
        <w:rPr>
          <w:rFonts w:ascii="Calibri" w:hAnsi="Calibri" w:eastAsia="Calibri" w:cs="Calibri" w:hint="eastAsia"/>
        </w:rPr>
        <w:t xml:space="preserve">3. System and Threat Model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system has Client A, which owns the mutable matrix, updates, CSSC metadata,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arrays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and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F1-M reservation/sampling ledger; Client B, which owns the query and secret 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receives the result; and a semi-honest Cloud evaluator. Client A and Client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 are both authorized to read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means private from the Cloud, not private between the two clients.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A sends the versioned column metadata and complete plan to Client B,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samples and encrypts F1-M operands under Client B’s public key, and never sends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individual mask plaintexts to Client B. At most one party is corrupted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does not collude with either client. The model excludes malicious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behavior, adaptive corruption, availability, side-channel, traffic-analysis,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collusion claims.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Client B is authorized to learn the versioned global column indices,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complete reconstruction plan, and final result. The Cloud is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learn public parameters, ciphertext shapes and counts, public page/segment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shapes, the operation schedule, opaque identifiers, query/version identifiers,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plan digests. The interface classifies matrix/query plaintexts,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metadata, RowMaps, full plans, mask plaintexts, and unblinded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outputs as forbidden-to-Cloud fields, and the typed serializers do not emit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them. This is an access-control and serialization requirement, not a proof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all leakage is prevented or that the implementation realizes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simulation-based notion.</w:t>
      </w:r>
    </w:p>
    <w:bookmarkEnd w:id="16"/>
    <w:bookmarkStart w:id="29" w:name="design"/>
    <w:p>
      <w:pPr>
        <w:pStyle w:val="Heading1"/>
      </w:pPr>
      <w:r>
        <w:rPr>
          <w:rFonts w:ascii="Calibri" w:hAnsi="Calibri" w:eastAsia="Calibri" w:cs="Calibri" w:hint="eastAsia"/>
        </w:rPr>
        <w:t xml:space="preserve">4. Design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Figure 1 shows the protocol boundary. Client A owns matrix publication,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plan and private metadata, constructs the version commit, and prepares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encrypted F1-M operands. Client B owns the query and key set, uses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version-matched column metadata to gather and encrypt query values, and uses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copy of the complete plan to recover logical coordinates. The Cloud receives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the typed public program, encrypted operands, and permitted identifiers.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diagram is an interface summary, not a claim that the listed metadata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cryptographically hidden from every side channel.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Version-bound protocol flow: Client A owns matrix publication, metadata, the complete plan, and encrypted masks; Client B owns the query and key set, encrypts the gathered query, and reconstructs; the Cloud executes only the public program and encrypted operands." title="Figure 1" id="18" name="Picture"/>
            <a:graphic>
              <a:graphicData uri="http://schemas.openxmlformats.org/drawingml/2006/picture">
                <pic:pic>
                  <pic:nvPicPr>
                    <pic:cNvPr descr="assets/route-c-protocol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1. Version-bound mutable CSSC publication, execution, and private reconstruction.</w:t>
      </w:r>
    </w:p>
    <w:bookmarkStart w:id="20" w:name="publication-windows"/>
    <w:p>
      <w:pPr>
        <w:pStyle w:val="Heading2"/>
      </w:pPr>
      <w:r>
        <w:rPr>
          <w:rFonts w:ascii="Calibri" w:hAnsi="Calibri" w:eastAsia="Calibri" w:cs="Calibri" w:hint="eastAsia"/>
        </w:rPr>
        <w:t xml:space="preserve">4.1 Publication Windows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Updates accumulate until a query arrival, freshness deadline, microbatch bound,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explicit publication event closes the current window. The transition first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applies every net update to a candidate logical state, validates matrix and value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bounds, constructs or patches physical components, decodes them back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state, and only then publishes the next version. A failed transition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cannot partially advance the visible state.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publication experiment, accepted raw events form atomic scheduling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groups. All visible SET transitions are applied first, followed by a payload-free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TICK and then the group’s exactly scheduled queries. The TICK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emitted even for clipped no-ops, so freshness advances without fabricating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update. Before a group at logical time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processed, any pending half-open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window whose deadline is at or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closed; the deadline group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belongs to the next window. No close may split the group’s SET→TICK→query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sequence. One deterministic bound-one ternary query vector is frozen per paired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trace unit and reused across candidates and cells. Its seed, generation method,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values are public, so it is a known-answer correctness/cost control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evidence for a production-query distribution, cryptographic randomness,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query-plaintext confidentiality.</w:t>
      </w:r>
    </w:p>
    <w:bookmarkEnd w:id="20"/>
    <w:bookmarkStart w:id="21" w:name="versioned-query-reorganization"/>
    <w:p>
      <w:pPr>
        <w:pStyle w:val="Heading2"/>
      </w:pPr>
      <w:r>
        <w:rPr>
          <w:rFonts w:ascii="Calibri" w:hAnsi="Calibri" w:eastAsia="Calibri" w:cs="Calibri" w:hint="eastAsia"/>
        </w:rPr>
        <w:t xml:space="preserve">4.2 Versioned query reorganization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Each CSSC value lane is paired with a parallel original matrix-column identifier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a padding sentinel. Client A sends versioned plaintext column metadata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B. Client B gathers one aligned vector per encrypted value chunk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encrypts it.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column domain is independent of the ciphertext-slot domain; reducing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column identifier modulo the slot count changes the function and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forbidden.</w:t>
      </w:r>
    </w:p>
    <w:bookmarkEnd w:id="21"/>
    <w:bookmarkStart w:id="22" w:name="outputplan-and-f1-m"/>
    <w:p>
      <w:pPr>
        <w:pStyle w:val="Heading2"/>
      </w:pPr>
      <w:r>
        <w:rPr>
          <w:rFonts w:ascii="Calibri" w:hAnsi="Calibri" w:eastAsia="Calibri" w:cs="Calibri" w:hint="eastAsia"/>
        </w:rPr>
        <w:t xml:space="preserve">4.3 OutputPlan and F1-M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plan maps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(component, output block, physical lane)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a logical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coordinate. Client B initializes the public-length result to zero, reorders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decrypted share, sums only equal logical coordinates, and concatenates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horizontal blocks. A coordinate with no physical contributor is an implicit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contributor multiplicity greater than one, Client A samples a modular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 tuple. The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reserved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durable SQLite ledger before sampling. Duplicate use is rejected within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ledger model. Repository rollback, database cloning or compromise,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cross-device coordination are outside the present evidence. A disjoint strong-path return uses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encrypted-zero dummy to retain a uniform visible operation position; it is not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mask and is accounted separately.</w:t>
      </w:r>
    </w:p>
    <w:bookmarkEnd w:id="22"/>
    <w:bookmarkStart w:id="23" w:name="strong-fixed-segment-delta"/>
    <w:p>
      <w:pPr>
        <w:pStyle w:val="Heading2"/>
      </w:pPr>
      <w:r>
        <w:rPr>
          <w:rFonts w:ascii="Calibri" w:hAnsi="Calibri" w:eastAsia="Calibri" w:cs="Calibri" w:hint="eastAsia"/>
        </w:rPr>
        <w:t xml:space="preserve">4.4 Strong fixed-segment delta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strong path retains a real CSSC base and places overflow into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power-of-two segments, currently frozen to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c=128</w:t>
      </w:r>
      <w:r>
        <w:rPr>
          <w:rFonts w:ascii="Calibri" w:hAnsi="Calibri" w:eastAsia="Calibri" w:cs="Calibri" w:hint="eastAsia"/>
        </w:rPr>
        <w:t xml:space="preserve">. A segment contains entries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from one logical row. The public typed plan uses uniform shapes and opaque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ordinal IDs, while the Cloud-visible leakage also includes published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 and timing, query/version identifiers, and binding digests. We do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claim segment unlinkability.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multiplies aligned value/query ciphertexts, applies the fixed reduction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schedule, selects segment leaders, adds one F1-M operand per return, and returns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page shares. Client B uses the private plan to merge leaders that map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row.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current policy does not authorize cloud-side merging of segments that share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logical row. Same-row-equivalence fields are carried only in Client B’s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plan; this is an interface access-control requirement, not a proof that 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relationships cannot be inferred. The publication identity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folding/compaction is frozen separately; changing it creates a different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candidate.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segment width 128 is fixed before real-stream evaluation rather than tuned: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 yields a seven-stage power-of-two reduction, places 32 complete segments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4,096-lane effective domain, and is the exact 127-active-plus-one-padding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boundary covered by the pinned witness. We make no optimality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cross-segment-width claim.</w:t>
      </w:r>
    </w:p>
    <w:bookmarkEnd w:id="23"/>
    <w:bookmarkStart w:id="28" w:name="definition-level-functional-propositions"/>
    <w:p>
      <w:pPr>
        <w:pStyle w:val="Heading2"/>
      </w:pPr>
      <w:r>
        <w:rPr>
          <w:rFonts w:ascii="Calibri" w:hAnsi="Calibri" w:eastAsia="Calibri" w:cs="Calibri" w:hint="eastAsia"/>
        </w:rPr>
        <w:t xml:space="preserve">4.5 Definition-level functional propositions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following statements are conditional functional propositions about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frozen typed interfaces and algorithms. They are not empirical conclusions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malicious- or simulation-security theorem. The exact-S1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 maps every premise below to the corresponding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validator, state transition, reconstruction routine, or ledger transition;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registered tests exercise legal cases and substitutions but do not replace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proof arguments.</w:t>
      </w:r>
    </w:p>
    <w:bookmarkStart w:id="24" w:name="p1-binding-soundness"/>
    <w:p>
      <w:pPr>
        <w:pStyle w:val="Heading3"/>
      </w:pPr>
      <w:r>
        <w:rPr>
          <w:rFonts w:ascii="Calibri" w:hAnsi="Calibri" w:eastAsia="Calibri" w:cs="Calibri" w:hint="eastAsia"/>
        </w:rPr>
        <w:t xml:space="preserve">P1: binding soundness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publication version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v</m:t>
        </m:r>
      </m:oMath>
      <w:r>
        <w:rPr>
          <w:rFonts w:ascii="Calibri" w:hAnsi="Calibri" w:eastAsia="Calibri" w:cs="Calibri" w:hint="eastAsia"/>
        </w:rP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C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C</m:t>
              </m:r>
              <m:sSubSup>
                <m:e>
                  <m:r>
                    <m:t>I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R</m:t>
              </m:r>
              <m:sSubSup>
                <m:e>
                  <m:r>
                    <m:t>M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canonical logical-state identity binding the logical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ordered physical components,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their global-column and row mappings,</w:t>
      </w:r>
      <w:r>
        <w:rPr>
          <w:rFonts w:ascii="Calibri" w:hAnsi="Calibri" w:eastAsia="Calibri" w:cs="Calibri" w:hint="eastAsia"/>
        </w:rPr>
        <w:t xml:space="preserve"> </w:t>
      </w:r>
      <m:oMath>
        <m: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OutputPlan,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prepared-query binding,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immutable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identity and digest bundle. Let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authoritative binding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. The registered acceptance predicate has the shape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Accept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f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F</m:t>
              </m:r>
            </m:lim>
          </m:limLow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∧</m:t>
          </m:r>
          <m:r>
            <m:t>​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o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O</m:t>
              </m:r>
            </m:lim>
          </m:limLow>
          <m:r>
            <m:rPr>
              <m:sty m:val="p"/>
            </m:rPr>
            <m:t>[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bytes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F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 typed version, query, component, mapping,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plan, parameter, and execution identity,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canonical byte object. Hence acceptance implies equality for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enumerated field and rehashed object. The capability and formal-artifact paths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downstream of this conjunction, so a failed conjunct cannot mint them.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proof is a case analysis over the closed predicate: each field class occurs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a necessary conjunct, retained bytes are rehashed inside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admission process, and no earlier branch reaches the issuer. This establishes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binding property for ordinary inputs and malformed/stale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substitutions. It says nothing about deliberate SHA-256 collisions, compromised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hosts, or side channels.</w:t>
      </w:r>
    </w:p>
    <w:bookmarkEnd w:id="24"/>
    <w:bookmarkStart w:id="25" w:name="p2-multi-compon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P2: multi-component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Let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physical-output-row by global-logical-column matrix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represented by component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and let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embed its declared physical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rows into the logical matrix domain. The admitted decomposition is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Assume each component execution decrypts to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t>x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its declared lanes,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lane has exactly its declared logical coordinate, the OutputPlan is total,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P3 masks cancel. For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the reconstruction operator sums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contributors mapped 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places disjoint blocks in logical order, and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when the contributor set is empty.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t>​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t>x</m:t>
                  </m:r>
                  <m:sSubSup>
                    <m:e>
                      <m:r>
                        <m:rPr>
                          <m:sty m:val="p"/>
                        </m:rPr>
                        <m:t>}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v</m:t>
                          </m:r>
                        </m:sub>
                      </m:sSub>
                    </m:sup>
                  </m:sSubSup>
                </m:e>
              </m:d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By completeness of the admitted decomposition,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x</m:t>
                  </m:r>
                </m:e>
              </m:d>
            </m:e>
            <m:sub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equality is coordinatewise: overlap is ordinary addition in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Calibri" w:cs="Calibri" w:hint="eastAsia"/>
        </w:rPr>
        <w:t xml:space="preserve">, disjoint blocks have disjoint images under the embeddings,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unmaterialized row contributes the additive identity. It holds for any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number of components under the stated completeness and totality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premises; the finite tests only check the implementation of those premises.</w:t>
      </w:r>
    </w:p>
    <w:bookmarkEnd w:id="25"/>
    <w:bookmarkStart w:id="26" w:name="X417749485cd3f5e178769b401ec7aca9aeecad6"/>
    <w:p>
      <w:pPr>
        <w:pStyle w:val="Heading3"/>
      </w:pPr>
      <w:r>
        <w:rPr>
          <w:rFonts w:ascii="Calibri" w:hAnsi="Calibri" w:eastAsia="Calibri" w:cs="Calibri" w:hint="eastAsia"/>
        </w:rPr>
        <w:t xml:space="preserve">P3: mask cancellation and ledger-scoped no-reuse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an overlap group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contributor order with</w:t>
      </w:r>
      <w:r>
        <w:rPr>
          <w:rFonts w:ascii="Calibri" w:hAnsi="Calibri" w:eastAsia="Calibri" w:cs="Calibri" w:hint="eastAsia"/>
        </w:rP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Calibri" w:cs="Calibri" w:hint="eastAsia"/>
        </w:rPr>
        <w:t xml:space="preserve">, Client A samples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.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Thus</w:t>
      </w:r>
      <w:r>
        <w:rPr>
          <w:rFonts w:ascii="Calibri" w:hAnsi="Calibri" w:eastAsia="Calibri" w:cs="Calibri" w:hint="eastAsia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t>G</m:t>
                </m:r>
              </m:e>
              <m:sub>
                <m:r>
                  <m:t>r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t</m:t>
        </m:r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, and P2 reconstruction removes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operands without changing the logical output coordinate. Groups of size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or one receive no random tuple; an encrypted-zero dummy is a separate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no-reuse, the durable state machine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unseen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reserved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prepared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consumed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One transaction reserves every five-field key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the first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sample. A prepared batch additionally binds the private plan, execution binding,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modulus, operand commitments, and a unique token; verification consumes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token atomically. Uniqueness constraints plus exact terminal closure reject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duplicate key or token, commitment drift, orphan record, or second consumption.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evaluation-lane digest includes the unit-attempt ordinal, so the single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provider-replacement allowance cannot reuse the same reservation identity.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invariant of one uncompromised durable SQLite ledger, not a rollback,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cloning, compromise, or cross-device guarantee.</w:t>
      </w:r>
    </w:p>
    <w:bookmarkEnd w:id="26"/>
    <w:bookmarkStart w:id="27" w:name="p4-fixed-segm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P4: fixed-segment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partition its auxiliary post-multiplication lane values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entry order into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of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lanes, so every populated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such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value, and pad only the final unused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suffix with zeros. The seven-stage public reduction places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127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in the predetermined leader lane. The private OutputPlan maps every leader back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so Client B obtains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127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which is exactly the auxiliary contribution to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; adding the CSSC-base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and applying P2 gives the direct logical product. The proof is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induction on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: one segment is the fixed reduction identity, and appending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row-owned segment adds exactly its leader sum without changing prior leaders.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127/128/129, tombstone, padding, disjoint, and overlap cases are boundary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tests of this construction, not its general proof and not evidence that 128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optimal width.</w:t>
      </w:r>
    </w:p>
    <w:bookmarkEnd w:id="27"/>
    <w:bookmarkEnd w:id="28"/>
    <w:bookmarkEnd w:id="29"/>
    <w:bookmarkStart w:id="30" w:name="implementation-and-evidence"/>
    <w:p>
      <w:pPr>
        <w:pStyle w:val="Heading1"/>
      </w:pPr>
      <w:r>
        <w:rPr>
          <w:rFonts w:ascii="Calibri" w:hAnsi="Calibri" w:eastAsia="Calibri" w:cs="Calibri" w:hint="eastAsia"/>
        </w:rPr>
        <w:t xml:space="preserve">5. Implementation and Evidence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At historical baseline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fcb00e0d</w:t>
      </w:r>
      <w:r>
        <w:rPr>
          <w:rFonts w:ascii="Calibri" w:hAnsi="Calibri" w:eastAsia="Calibri" w:cs="Calibri" w:hint="eastAsia"/>
        </w:rPr>
        <w:t xml:space="preserve">, the Python implementation supplied typed persistent states, a common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compiler, exact operation graphs, private operand/route bindings, a plaintext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oracle, SQLite no-reuse commitments, canonical artifacts, and a separate deterministic replay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validator. The encrypted path uses BFV-family batching, whose original scheme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 is Fan–Vercauteren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an2012somewhat">
        <w:r>
          <w:rPr>
            <w:rStyle w:val="Hyperlink"/>
          </w:rPr>
          <w:t xml:space="preserve">Fan and Vercauteren 2012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through OpenFHE 1.5.1 pinned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penfhe151">
        <w:r>
          <w:rPr>
            <w:rStyle w:val="Hyperlink"/>
          </w:rPr>
          <w:t xml:space="preserve">OpenFHE Development Team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At that historical baseline, R0 passed 750 tests and the Phase 2 whole-query witness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in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32581653504</w:t>
      </w:r>
      <w:r>
        <w:rPr>
          <w:rFonts w:ascii="Calibri" w:hAnsi="Calibri" w:eastAsia="Calibri" w:cs="Calibri" w:hint="eastAsia"/>
        </w:rPr>
        <w:t xml:space="preserve">. The witness exercises a 4096-by-8193 fixture,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global-column anti-aliasing, the 127-of-128 segment boundary, the unused second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BFV batching row, explicit no-relinearize/relinearize transitions, random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dummy F1-M operands, and equality with both typed and direct plaintext oracles.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GitHub Actions artifact-wrapper SHA-256 digest is recorded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version-bound claim-ledger supplement (</w:t>
      </w:r>
      <w:r>
        <w:rPr>
          <w:rStyle w:val="VerbatimChar"/>
          <w:rFonts w:ascii="Calibri" w:hAnsi="Calibri" w:eastAsia="Calibri" w:cs="Calibri" w:hint="eastAsia"/>
        </w:rPr>
        <w:t xml:space="preserve">c5f44b0c…4711afe</w:t>
      </w:r>
      <w:r>
        <w:rPr>
          <w:rFonts w:ascii="Calibri" w:hAnsi="Calibri" w:eastAsia="Calibri" w:cs="Calibri" w:hint="eastAsia"/>
        </w:rPr>
        <w:t xml:space="preserve">).</w:t>
      </w:r>
    </w:p>
    <w:p>
      <w:pPr>
        <w:pStyle w:val="BodyText"/>
        <w:jc w:val="left"/>
      </w:pPr>
      <w:r>
        <w:rPr>
          <w:rFonts w:ascii="Calibri" w:hAnsi="Calibri" w:eastAsia="Calibri" w:cs="Calibri" w:hint="eastAsia"/>
        </w:rPr>
        <w:t xml:space="preserve">The separately preregistered current-source replication retained that exact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fixture, expected output, OpenFHE pin, and witness specification while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them to reviewed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844fb062d78f5095f14599c6c71a27cb6034f001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through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lightweight tag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current-source-e4-conformance-20260831-v1</w:t>
      </w:r>
      <w:r>
        <w:rPr>
          <w:rFonts w:ascii="Calibri" w:hAnsi="Calibri" w:eastAsia="Calibri" w:cs="Calibri" w:hint="eastAsia"/>
        </w:rPr>
        <w:t xml:space="preserve">. Its only current-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run,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33386130654</w:t>
      </w:r>
      <w:r>
        <w:rPr>
          <w:rFonts w:ascii="Calibri" w:hAnsi="Calibri" w:eastAsia="Calibri" w:cs="Calibri" w:hint="eastAsia"/>
        </w:rPr>
        <w:t xml:space="preserve">, completed successfully and produced artifact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9755741401</w:t>
      </w:r>
      <w:r>
        <w:rPr>
          <w:rFonts w:ascii="Calibri" w:hAnsi="Calibri" w:eastAsia="Calibri" w:cs="Calibri" w:hint="eastAsia"/>
        </w:rPr>
        <w:t xml:space="preserve">. A clean controller independently verified the raw provider ZIP,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exact 19-file set, strict internal checksums, literal RFC 6901 pointer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expectations, and every source digest in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PROVENANCE.json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against a fresh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detached tag checkout. Section 7.6 states the bounded result and its exclusions.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evidence is deliberately narrow. It does not establish complete candidate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costs, candidate registration, mixed-circuit parameter safety, security,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performance, or an end-to-end deployment.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2. Definition-level obligations and their Route C disposition.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Obligation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Frozen implementation and review boundary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Claim permitted in this manuscript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P1: exact binding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Typed version/query/plan/payload identities, fresh byte rehashing, independent replay, and source-conformance mapping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Conditional binding proposition and fail-closed interface design; no end-to-end admission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P2: multi-component reconstruction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Private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OutputPlan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direct plaintext oracle, overlap/concatenation/implicit-zero checks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Definition-level reconstruction proof under the admitted-plan premises; no formal-run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P3: F1-M cancellation and no-reuse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Modular cancellation proof plus durable reserve-before-sample SQLite state machine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Cancellation and ledger-local invariant only; no simulation-security, rollback, cloning, or cross-device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P4: fixed 128-lane segment path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Seven-stage reduction proof and 127/128/129 boundary tests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Correctness proposition for the frozen segment construction; no optimal-width or performance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release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S1/S2 Behavior Sets, independent guards, terminal controller, and exact object-count contract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Engineering/source conformance and the Route C stop decision only; no strategy-cost evidence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</w:rPr>
        <w:t xml:space="preserve">The Route A engineering line retains those boundaries while adding a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and evidence path. A six-job, permanently non-admissible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first exercises a synthetic producer/replay pair, then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case-shaped native producer with one discarded warm-up and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recorded lanes, exact package replay with zero key generation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a cross-domain combined guard, and a post-run resource record.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 have one-day retention, carry no publication authority, and can never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enter the paper’s formal result set. An external controller enforces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computational and end-to-end deadlines and can only return a non-serializable,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short-lived dispatch capability after a fresh provider reread.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Formal execution was specified as a separate strictly serial campaign,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conditional on qualification success. Every unit would have had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experiment-source checkout, producer,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one-day non-evidence handoff, independent replay, guard, and formal artifact.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validator admits exactly one acquisition artifact, six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four ordered-event artifacts, and six native artifacts before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aggregate and a compatible detached analysis snapshot may be created. A clean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snapshot, a data-only registration snapshot, and an analysis snapshot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may have different commit identifiers only when a repository-owned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 Set and compatibility receipt prove that every behavior-bearing blob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remains identical where required. The qualification did not succeed, so none of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these formal units or downstream objects was created.</w:t>
      </w:r>
    </w:p>
    <w:p>
      <w:pPr>
        <w:pStyle w:val="BodyText"/>
        <w:jc w:val="left"/>
      </w:pPr>
      <w:r>
        <w:rPr>
          <w:rFonts w:ascii="Calibri" w:hAnsi="Calibri" w:eastAsia="Calibri" w:cs="Calibri" w:hint="eastAsia"/>
        </w:rPr>
        <w:t xml:space="preserve">Historical exact-head CI and real-runner smokes are useful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observations, but they do not transfer across behavior changes. The final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reviewed tree was merged as Experiment Source Snapshot S1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ee58627bb5752c6ac1ee2c5132c6574f9cb66552</w:t>
      </w:r>
      <w:r>
        <w:rPr>
          <w:rFonts w:ascii="Calibri" w:hAnsi="Calibri" w:eastAsia="Calibri" w:cs="Calibri" w:hint="eastAsia"/>
        </w:rPr>
        <w:t xml:space="preserve">; exact-main CI and PRE-S1 passed.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descriptive registration was then installed as the only data change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Evidence-Freeze Snapshot S2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c7ff6820d9323f1850c1c5c57fd9070db88db120</w:t>
      </w:r>
      <w:r>
        <w:rPr>
          <w:rFonts w:ascii="Calibri" w:hAnsi="Calibri" w:eastAsia="Calibri" w:cs="Calibri" w:hint="eastAsia"/>
        </w:rPr>
        <w:t xml:space="preserve">, whose CI and closed-Behavior-Set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checks passed. The sole qualification subsequently selected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C, so the formal campaign, terminal admission, aggregate, and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chain were deliberately not run. No statement in this section is empirical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 for a maintenance strategy.</w:t>
      </w:r>
    </w:p>
    <w:p>
      <w:pPr>
        <w:pStyle w:val="BodyText"/>
        <w:jc w:val="left"/>
      </w:pPr>
      <w:r>
        <w:rPr>
          <w:rFonts w:ascii="Calibri" w:hAnsi="Calibri" w:eastAsia="Calibri" w:cs="Calibri" w:hint="eastAsia"/>
        </w:rPr>
        <w:t xml:space="preserve">A later, separately preregistered follow-up repaired a pre-dispatch capability-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lease defect without changing the estimand, resource thresholds, or scientific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matrix. Its replacement experiment source S1 was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f8d89d6f98f289dc2e0c3414f7b4ed59b5d30f52</w:t>
      </w:r>
      <w:r>
        <w:rPr>
          <w:rFonts w:ascii="Calibri" w:hAnsi="Calibri" w:eastAsia="Calibri" w:cs="Calibri" w:hint="eastAsia"/>
        </w:rPr>
        <w:t xml:space="preserve">, and its direct-child, data-only S2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e1e488f177dc8a469c6132a29537b041fbf1430b</w:t>
      </w:r>
      <w:r>
        <w:rPr>
          <w:rFonts w:ascii="Calibri" w:hAnsi="Calibri" w:eastAsia="Calibri" w:cs="Calibri" w:hint="eastAsia"/>
        </w:rPr>
        <w:t xml:space="preserve">. Exact-head CI, PRE-S1,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descriptive registration, source-anchor, and independent-review controls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at exact S2 with authority false. The sole subsequent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cancelled before checkout or seed admission when the controller could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install its watcher-admission binding. It produced zero artifacts and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scientific observation. The frozen one-shot rule therefore closed the follow-up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terminal NO-GO and barred a repaired-lineage rerun.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Generative-AI systems assisted literature discovery, code and test generation,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adversarial review, and drafting during development. Their outputs are neither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authority nor experimental evidence. Human authors must independently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verify cited primary sources, inspect the final code, reproduce the admitted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and accept responsibility for every claim and released result.</w:t>
      </w:r>
    </w:p>
    <w:bookmarkEnd w:id="30"/>
    <w:bookmarkStart w:id="38" w:name="evaluation-methodology"/>
    <w:p>
      <w:pPr>
        <w:pStyle w:val="Heading1"/>
      </w:pPr>
      <w:r>
        <w:rPr>
          <w:rFonts w:ascii="Calibri" w:hAnsi="Calibri" w:eastAsia="Calibri" w:cs="Calibri" w:hint="eastAsia"/>
        </w:rPr>
        <w:t xml:space="preserve">6. Evaluation Methodology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Sections 6.1–6.6 preserve the frozen counterfactual execution and reporting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protocol. Because neither qualification path produced a GO, none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acquisitions, formal cells, native cases, measurements, or reports specified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below occurred. The protocol was frozen before any formal artifact could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inspected. It specified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trained selector, winner chosen on a tuning prefix, or held-out oracle.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strategy would have owned an independent persistent state and consumed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 event groups, publication boundaries, queries, initial logical matrix,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public parameters. The intended intervention was therefore the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mechanism, not the workload history.</w:t>
      </w:r>
    </w:p>
    <w:bookmarkStart w:id="31" w:name="fixed-strategies"/>
    <w:p>
      <w:pPr>
        <w:pStyle w:val="Heading2"/>
      </w:pPr>
      <w:r>
        <w:rPr>
          <w:rFonts w:ascii="Calibri" w:hAnsi="Calibri" w:eastAsia="Calibri" w:cs="Calibri" w:hint="eastAsia"/>
        </w:rPr>
        <w:t xml:space="preserve">6.1 Fixed strategies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three strategy identities were: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periodic-repack/windows=1</w:t>
      </w:r>
      <w:r>
        <w:rPr>
          <w:rFonts w:ascii="Calibri" w:hAnsi="Calibri" w:eastAsia="Calibri" w:cs="Calibri" w:hint="eastAsia"/>
        </w:rPr>
        <w:t xml:space="preserve">, which would have reconstructed and republished a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static CSSC layout at every Publication Window;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padding-reuse</w:t>
      </w:r>
      <w:r>
        <w:rPr>
          <w:rFonts w:ascii="Calibri" w:hAnsi="Calibri" w:eastAsia="Calibri" w:cs="Calibri" w:hint="eastAsia"/>
        </w:rPr>
        <w:t xml:space="preserve">, which would have reused the lowest-ordinal tombstone, then natural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padding, and otherwise rebuilds the affected fixed horizontal row partition;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packed-coo-cloud-segmented-delta/segment-width=128</w:t>
      </w:r>
      <w:r>
        <w:rPr>
          <w:rFonts w:ascii="Calibri" w:hAnsi="Calibri" w:eastAsia="Calibri" w:cs="Calibri" w:hint="eastAsia"/>
        </w:rPr>
        <w:t xml:space="preserve">, which would have kept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base and appended overflow into cloud-executable, row-owned 128-lane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segments. It was not to fold online in the registered experiment.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These candidates were mechanisms specified for comparison, not actions of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online policy. A slower strategy, a crossing cost curve, or the absence of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winner would have been a reportable outcome rather than a failed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experiment.</w:t>
      </w:r>
    </w:p>
    <w:bookmarkEnd w:id="31"/>
    <w:bookmarkStart w:id="32" w:name="synthetic-matrix"/>
    <w:p>
      <w:pPr>
        <w:pStyle w:val="Heading2"/>
      </w:pPr>
      <w:r>
        <w:rPr>
          <w:rFonts w:ascii="Calibri" w:hAnsi="Calibri" w:eastAsia="Calibri" w:cs="Calibri" w:hint="eastAsia"/>
        </w:rPr>
        <w:t xml:space="preserve">6.2 Synthetic matrix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synthetic suite was specified to use a mixed insert/delete/modify workload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 two frozen scales: S would have had 256 rows, 8,193 columns, and 512 accepted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updates; M would have had 1,024 rows, 8,193 columns, and 2,048 accepted updates.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seeds were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20260823</w:t>
      </w:r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20260824</w:t>
      </w:r>
      <w:r>
        <w:rPr>
          <w:rFonts w:ascii="Calibri" w:hAnsi="Calibri" w:eastAsia="Calibri" w:cs="Calibri" w:hint="eastAsia"/>
        </w:rPr>
        <w:t xml:space="preserve">, defining six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scale–seed shards. Every shard would have evaluated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a reduced fraction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zero-based accepted-event ordinal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number of queries inserted after event group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so the first</w:t>
      </w:r>
      <w:r>
        <w:rPr>
          <w:rFonts w:ascii="Calibri" w:hAnsi="Calibri" w:eastAsia="Calibri" w:cs="Calibri" w:hint="eastAsia"/>
        </w:rPr>
        <w:t xml:space="preserve"> </w:t>
      </w:r>
      <m:oMath>
        <m:r>
          <m:t>N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groups contain exactly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queries.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0.01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0.1</m:t>
        </m:r>
      </m:oMath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cells were specified for direct execution.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 would not have been timed; it was registered as an exact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transformation of the same strategy and shard’s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query-linear count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byte fields. Any event, window, state, or non-whitelisted-field mismatch would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have rejected the entire shard.</w:t>
      </w:r>
    </w:p>
    <w:bookmarkEnd w:id="32"/>
    <w:bookmarkStart w:id="33" w:name="ordered-events-from-one-real-source"/>
    <w:p>
      <w:pPr>
        <w:pStyle w:val="Heading2"/>
      </w:pPr>
      <w:r>
        <w:rPr>
          <w:rFonts w:ascii="Calibri" w:hAnsi="Calibri" w:eastAsia="Calibri" w:cs="Calibri" w:hint="eastAsia"/>
        </w:rPr>
        <w:t xml:space="preserve">6.3 Ordered events from one real source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sole external object would have been the SNAP Stack Overflow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answer-to-question stream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sx-stackoverflow-a2q.txt.gz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nap_stackoverflow_temporal_network">
        <w:r>
          <w:rPr>
            <w:rStyle w:val="Hyperlink"/>
          </w:rPr>
          <w:t xml:space="preserve">Stanford Network Analysis Project, n.d.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X25cb68a9261baf26b64cc014026bbfce216a4f2">
        <w:r>
          <w:rPr>
            <w:rStyle w:val="Hyperlink"/>
          </w:rPr>
          <w:t xml:space="preserve">Paranjape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acquisition job was specified to record the final URL, response headers,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compressed length, and SHA-256 digest. An independent guard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downloaded the object again and required identical response-body bytes;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artifact would have omitted the raw compressed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first 1,000,000 eligible records were specified to freeze the row/column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mapping. Source-ID hashing would have defined two deterministic partitions,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each with 1,024 rows and 8,193 columns. After the mapping prefix, each partition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consumed 4,096 accepted records under two semantics. T1 was defined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cumulative occurrence,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whereas T2 would have retained the most recent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accepted events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performed expiry before admission in one indivisible atomic group. The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would have advanced by one second per 128 accepted records.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partitions and both semantics were specified to run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, yielding four ordered-event shards. If admitted, those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shards could only have supported conclusions about deterministic interactions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one source, not multi-source or historical wall-clock generalization.</w:t>
      </w:r>
    </w:p>
    <w:bookmarkEnd w:id="33"/>
    <w:bookmarkStart w:id="34" w:name="native-openfhe-cases"/>
    <w:p>
      <w:pPr>
        <w:pStyle w:val="Heading2"/>
      </w:pPr>
      <w:r>
        <w:rPr>
          <w:rFonts w:ascii="Calibri" w:hAnsi="Calibri" w:eastAsia="Calibri" w:cs="Calibri" w:hint="eastAsia"/>
        </w:rPr>
        <w:t xml:space="preserve">6.4 Native OpenFHE cases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native matrix was specified to contain three strategies at the S and 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scales, hence six cases. Every case would have used seed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accepted-event prefix (512 for S and 2,048 for M), and the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after the last complete event group. Version, component inventory, query vector,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typed execution plan, and canonical input bytes were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together.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Each case was specified to perform one discarded warm-up,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producer evaluations, and three exact package replays: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native evaluations in total. The three producer repetitions specified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recording were technical repetitions, not independent population samples.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execution would have reported their raw values, median, and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for production and replay. Replay was specified to deserialize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context, secret/public keys, evaluation-key frame, and input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ciphertexts. Its lifecycle receipt would have had to show zero context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generation, zero key generation, zero evaluation-key generation,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while its cloud-program operation inventory would have had to equal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of the corresponding producer package.</w:t>
      </w:r>
    </w:p>
    <w:bookmarkEnd w:id="34"/>
    <w:bookmarkStart w:id="35" w:name="measurements-and-accounting"/>
    <w:p>
      <w:pPr>
        <w:pStyle w:val="Heading2"/>
      </w:pPr>
      <w:r>
        <w:rPr>
          <w:rFonts w:ascii="Calibri" w:hAnsi="Calibri" w:eastAsia="Calibri" w:cs="Calibri" w:hint="eastAsia"/>
        </w:rPr>
        <w:t xml:space="preserve">6.5 Measurements and accounting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strategy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scale or source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s</m:t>
        </m:r>
      </m:oMath>
      <w:r>
        <w:rPr>
          <w:rFonts w:ascii="Calibri" w:hAnsi="Calibri" w:eastAsia="Calibri" w:cs="Calibri" w:hint="eastAsia"/>
        </w:rPr>
        <w:t xml:space="preserve">, and query/update ratio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</m:oMath>
      <w:r>
        <w:rPr>
          <w:rFonts w:ascii="Calibri" w:hAnsi="Calibri" w:eastAsia="Calibri" w:cs="Calibri" w:hint="eastAsia"/>
        </w:rPr>
        <w:t xml:space="preserve">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 was specified as a typed vector rather than a synthetic score: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Synthetic and ordered-event cells were specified to measure state-transition,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result-assembly, and independent-replay time, peak RSS, and controlled scratch;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they would have exactly counted events, windows, queries, typed operations,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object multiplicities. Their cryptographic-object bytes were specified 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conservative type-derived bounds,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exact multiplicity and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registration-time,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pre-execution Stage-1 maximum serialized size frozen for type</w:t>
      </w:r>
      <w:r>
        <w:rPr>
          <w:rFonts w:ascii="Calibri" w:hAnsi="Calibri" w:eastAsia="Calibri" w:cs="Calibri" w:hint="eastAsia"/>
        </w:rPr>
        <w:t xml:space="preserve"> </w:t>
      </w:r>
      <m:oMath>
        <m:r>
          <m:t>j</m:t>
        </m:r>
      </m:oMath>
      <w:r>
        <w:rPr>
          <w:rFonts w:ascii="Calibri" w:hAnsi="Calibri" w:eastAsia="Calibri" w:cs="Calibri" w:hint="eastAsia"/>
        </w:rPr>
        <w:t xml:space="preserve">. Canonical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 bytes would have been measured separately. Native cases instead were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specified to report observed serialized-object bytes, typed-operation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inventories, process time, RSS, and scratch. Simulator counts were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converted into OpenFHE latency, and evidence-replay overhead was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presented as strategy execution cost.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registered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projection, only query-linear fields change: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Wall time, RSS, scratch, and native latency would have been unavailable for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projected cell. Protocol-byte transfer time at bandwidth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Mbps was specified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as the transparent conversion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HTTP/TLS, artifact wrappers, filesystems, and private replay transport were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 separate evidence-pipeline costs.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paired strategy contrast for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u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preregistered field or the full typed cost vector. With only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scales, two deterministic source partitions, and three technical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repetitions, an admitted execution would have reported all raw points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mechanism-level decompositions. It would not have fitted scaling exponents,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attached population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p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values or confidence intervals, or claimed a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winner or Pareto frontier.</w:t>
      </w:r>
    </w:p>
    <w:bookmarkEnd w:id="35"/>
    <w:bookmarkStart w:id="36" w:name="evidence-admission-and-stopping"/>
    <w:p>
      <w:pPr>
        <w:pStyle w:val="Heading2"/>
      </w:pPr>
      <w:r>
        <w:rPr>
          <w:rFonts w:ascii="Calibri" w:hAnsi="Calibri" w:eastAsia="Calibri" w:cs="Calibri" w:hint="eastAsia"/>
        </w:rPr>
        <w:t xml:space="preserve">6.6 Evidence admission and stopping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Before formal execution, one six-job qualification was required to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the frozen 45-minute computational path and 55-minute total path, satisfy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necessary</w:t>
      </w:r>
      <w:r>
        <w:rPr>
          <w:rFonts w:ascii="Calibri" w:hAnsi="Calibri" w:eastAsia="Calibri" w:cs="Calibri" w:hint="eastAsia"/>
        </w:rPr>
        <w:t xml:space="preserve"> </w:t>
      </w:r>
      <m:oMath>
        <m:r>
          <m:t>6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r>
          <m:t>9000</m:t>
        </m:r>
        <m:r>
          <m:t> </m:t>
        </m:r>
        <m:r>
          <m:rPr>
            <m:sty m:val="p"/>
          </m:rPr>
          <m:t>s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planning screen, and survive a fresh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external-controller reread. 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registered per-case native-runtime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estimate: the sum of provider-API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–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durations for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qualification’s native producer job, native replay/guard job, and entire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combined-guard job. Qualification artifacts were permanently non-evidence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could not enter the formal result set.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formal campaign was specified as serial and would have admitted exactly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pre-aggregate artifacts. Before launching each unit, the controller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reserved its full remaining worst-case budget. The preregistered 12-hour figure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acceptance threshold, not a guarantee that provider-side cancellation cannot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overshoot. Across the 17 enumerated units, at most one whole-unit replacement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been allowed, and only for a provider failure rather than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data-dependent or scientific outcome. Terminal admission would have rejected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missing, extra, duplicated, wrong-attempt, or wrong-kind objects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aggregation and compatible detached analysis.</w:t>
      </w:r>
    </w:p>
    <w:bookmarkEnd w:id="36"/>
    <w:bookmarkStart w:id="37" w:name="Xee0aa4bfad8d8bc9216992ca3a5cd0a8fd20ca2"/>
    <w:p>
      <w:pPr>
        <w:pStyle w:val="Heading2"/>
      </w:pPr>
      <w:r>
        <w:rPr>
          <w:rFonts w:ascii="Calibri" w:hAnsi="Calibri" w:eastAsia="Calibri" w:cs="Calibri" w:hint="eastAsia"/>
        </w:rPr>
        <w:t xml:space="preserve">6.7 Current-source deterministic conformance replication</w:t>
      </w:r>
    </w:p>
    <w:p>
      <w:pPr>
        <w:pStyle w:val="FirstParagraph"/>
        <w:jc w:val="left"/>
      </w:pPr>
      <w:r>
        <w:rPr>
          <w:rFonts w:ascii="Calibri" w:hAnsi="Calibri" w:eastAsia="Calibri" w:cs="Calibri" w:hint="eastAsia"/>
        </w:rPr>
        <w:t xml:space="preserve">After both performance lineages were terminal, a separate preregistration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 a functional question that neither estimates nor rescues their performance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estimand. The immutable source was lightweight tag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current-source-e4-conformance-20260831-v1</w:t>
      </w:r>
      <w:r>
        <w:rPr>
          <w:rFonts w:ascii="Calibri" w:hAnsi="Calibri" w:eastAsia="Calibri" w:cs="Calibri" w:hint="eastAsia"/>
        </w:rPr>
        <w:t xml:space="preserve">, pointing directly to reviewed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844fb062d78f5095f14599c6c71a27cb6034f001</w:t>
      </w:r>
      <w:r>
        <w:rPr>
          <w:rFonts w:ascii="Calibri" w:hAnsi="Calibri" w:eastAsia="Calibri" w:cs="Calibri" w:hint="eastAsia"/>
        </w:rPr>
        <w:t xml:space="preserve">. The single default dispatch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used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.github/workflows/strong-whole-query-witness.yml</w:t>
      </w:r>
      <w:r>
        <w:rPr>
          <w:rFonts w:ascii="Calibri" w:hAnsi="Calibri" w:eastAsia="Calibri" w:cs="Calibri" w:hint="eastAsia"/>
        </w:rPr>
        <w:t xml:space="preserve">, CPython 3.12,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120-minute job timeout, two build threads, and OpenFHE 1.5.1 at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1306d14f8c26bb6150d3e6ad54f28dfe1007689e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deterministic property corpus froze seed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 eight input cases,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35 contract records. The encrypted witness froze one 4096-by-8193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CSSC-base-plus-strong-delta fixture, segment width 128, active payload 127,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padding offset 127, global column 8192, and sparse expected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[(0, 128), (4095, 5)]</w:t>
      </w:r>
      <w:r>
        <w:rPr>
          <w:rFonts w:ascii="Calibri" w:hAnsi="Calibri" w:eastAsia="Calibri" w:cs="Calibri" w:hint="eastAsia"/>
        </w:rPr>
        <w:t xml:space="preserve">. PASS required exact run/ref/head/attempt identity,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success for every provider step, one success-named 30-day artifact, exactly 19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regular files, a raw ZIP digest equal to the provider digest, strict internal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checksums, literal RFC 6901 checks, and detached-source PROVENANCE rehashing.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rerun button was forbidden; a replacement could exist only for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provider-only null attempt proven to have executed no job step and produced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artifact. No replacement was needed or dispatched.</w:t>
      </w:r>
    </w:p>
    <w:bookmarkEnd w:id="37"/>
    <w:bookmarkEnd w:id="38"/>
    <w:bookmarkStart w:id="48" w:name="evidence-outcome"/>
    <w:p>
      <w:pPr>
        <w:pStyle w:val="Heading1"/>
      </w:pPr>
      <w:r>
        <w:rPr>
          <w:rFonts w:ascii="Calibri" w:hAnsi="Calibri" w:eastAsia="Calibri" w:cs="Calibri" w:hint="eastAsia"/>
        </w:rPr>
        <w:t xml:space="preserve">7. Evidence Outcome</w:t>
      </w:r>
    </w:p>
    <w:bookmarkStart w:id="42" w:name="evidence-status"/>
    <w:p>
      <w:pPr>
        <w:pStyle w:val="Heading2"/>
      </w:pPr>
      <w:r>
        <w:rPr>
          <w:rFonts w:ascii="Calibri" w:hAnsi="Calibri" w:eastAsia="Calibri" w:cs="Calibri" w:hint="eastAsia"/>
        </w:rPr>
        <w:t xml:space="preserve">7.1 Evidence status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Exact-head CI, PRE-S1, descriptive registration, and S1–S2 compatibility gates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before execution.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33261434612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then dispatched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once from exact S2 while importing behavior from exact S1.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45-minute computational threshold, the independent simulator replay was still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running and the combined guard had not started. The external controller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requested cancellation of that exact run. The terminal workflow conclusion is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cancelled</w:t>
      </w:r>
      <w:r>
        <w:rPr>
          <w:rFonts w:ascii="Calibri" w:hAnsi="Calibri" w:eastAsia="Calibri" w:cs="Calibri" w:hint="eastAsia"/>
        </w:rPr>
        <w:t xml:space="preserve">; the only retained object was the one-day q1 pre-replay handoff,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which is permanently non-admissible.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No q5 guarded bundle, q6 post-run record, live dispatch capability, acquisition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artifact, formal shard, terminal admission record, aggregate, or compatible S3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 exists. The project therefore has zero reportable strategy-cost,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ordered-event, or native OpenFHE results. CI logs, qualification handoffs,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partially completed jobs, and local copies are not alternative result sources.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Figure 2 records the evidence boundary rather than a performance curve. Green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blue boxes are engineering or workflow observations at their exact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none is promoted into the absent formal result set.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Evidence lineage from S1 and S2 through the stopped qualification to the Route C boundary; the formal campaign was not dispatched." title="Figure 2" id="40" name="Picture"/>
            <a:graphic>
              <a:graphicData uri="http://schemas.openxmlformats.org/drawingml/2006/picture">
                <pic:pic>
                  <pic:nvPicPr>
                    <pic:cNvPr descr="assets/route-c-evidence-bounda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2. Primary exact-source freeze, one-shot qualification stop, and the resulting Route C evidence boundary; the later follow-up is recorded separately in Section 7.5.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3. What each evidence layer proves and does not prove.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Layer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disposition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Supports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Does not support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 CI and PRE-S1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 at exact 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Registered tests, source build, and ordinary/strong smoke execution at that identity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costs, complete-reference coverage, or formal artifact admission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and S2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archive reinspected; data-only anchor installed at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S1/S2 identity and closed-Behavior-Set compatibility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 or a replayable dispatch authority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run; q1 completed, q2 was cancelled at the frozen stop, q5 never started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Preregistered Route C decision and fail-closed provenance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Any simulator/native performance estimator or partial formal result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controls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Five fresh controls passed at follow-up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e1e488f…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all authority false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follow-up source/anchor identity and prerequisite closure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GO, formal authority, or scientific execution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 was cancelled during hosted-runner setup before checkout or seed admission; zero artifacts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Terminal one-shot disposition and a control-plane failure chronology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behavior, performance, a 45/55-minute timeout, or a precise watcher/CAS root cause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Current-source E4 conformance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tagged run and independently rehashed 19-file artifact passed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Version-bound eight-case/35-record contract outcome and one fixed OpenFHE whole-query vector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Candidate admission, complete-reference status, security, deployment, performance, speedup, or general correctness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Formal campaign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Not dispatched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The absence of unauthorized execution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ranking, speedup, ordered-event findings, or native resource claims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  <w:b/>
          <w:bCs/>
        </w:rPr>
        <w:t xml:space="preserve">Table 4. Compact standalone provenance for the Route C stopping outcome.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 or gate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Terminal disposition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Experiment source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ee58627bb5752c6ac1ee2c5132c6574f9cb66552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33258436732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passed: 2,403 tests and 2 expected runner-dependent skips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Real-runner preparation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PRE-S1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33259569284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Passed: 583 tests and pinned OpenFHE 1.5.1 ordinary/strong smokes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freeze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33259894587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c7ff6820d9323f1850c1c5c57fd9070db88db120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authority false; S2 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33260167517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One-shot qualification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33261434612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cancelled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q1 completed, q2 stopped at the frozen gate, q3–q6 did not run, and q5 never started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Sole provider object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Artifact ID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9717884587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digest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sha256:51cbfc2a…2c008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One-day q1 handoff; permanently non-evidence; no formal artifact exists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  <w:b/>
          <w:bCs/>
        </w:rPr>
        <w:t xml:space="preserve">Table 5. Separately preregistered follow-up chronology.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 or gate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Terminal disposition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experiment source and evidence freeze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f8d89d6f98f289dc2e0c3414f7b4ed59b5d30f52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e1e488f177dc8a469c6132a29537b041fbf1430b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compatibility receipt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c163974a…7e24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Direct-child data-only transition; all authority fields false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Five fresh controls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Runs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33347586537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33347586568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33347586620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and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33347586569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All completed successfully on exact S2; prerequisite evidence only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Sole follow-up qualification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33348855548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completed/cancelled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only GitHub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Set up job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began; no checkout, registered seed, q1–q6 scientific stage, or artifact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Claim and evidence state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claim ref remains at exact S2; artifact API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total_count=0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evidence root empty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Watch-binding candidate absent; no formal/campaign/terminal/analysis ref and no reportable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Independent disposition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Same exact packet received two adversarial read-only reviews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Both returned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TERMINAL-NO-GO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no second qualification or repaired-lineage continuation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</w:rPr>
        <w:t xml:space="preserve">The version-bound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claim-ledger-draft.md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supplement records the full provider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digest, exact authority states, and the closed claim mapping. It is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circulation packet rather than an alternative source of empirical results.</w:t>
      </w:r>
    </w:p>
    <w:bookmarkEnd w:id="42"/>
    <w:bookmarkStart w:id="43" w:name="synthetic-and-ordered-event-costs"/>
    <w:p>
      <w:pPr>
        <w:pStyle w:val="Heading2"/>
      </w:pPr>
      <w:r>
        <w:rPr>
          <w:rFonts w:ascii="Calibri" w:hAnsi="Calibri" w:eastAsia="Calibri" w:cs="Calibri" w:hint="eastAsia"/>
        </w:rPr>
        <w:t xml:space="preserve">7.2 Synthetic and ordered-event costs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synthetic and four ordered-event formal shards were not dispatched.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Consequently this paper presents no strategy ranking, speedup, projected timing,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cost trade-off plot. The frozen schemas and analysis code remain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reproducibility package, but an empty or partial table is not treated as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measurement result.</w:t>
      </w:r>
    </w:p>
    <w:bookmarkEnd w:id="43"/>
    <w:bookmarkStart w:id="44" w:name="native-openfhe-execution"/>
    <w:p>
      <w:pPr>
        <w:pStyle w:val="Heading2"/>
      </w:pPr>
      <w:r>
        <w:rPr>
          <w:rFonts w:ascii="Calibri" w:hAnsi="Calibri" w:eastAsia="Calibri" w:cs="Calibri" w:hint="eastAsia"/>
        </w:rPr>
        <w:t xml:space="preserve">7.3 Native OpenFHE execution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formal native cases were not dispatched. PRE-S1 ordinary and strong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smokes demonstrate only that the pinned OpenFHE paths executed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identity; they are not benchmark observations. No native median,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speedup, memory result, or serialized-package comparison is claimed.</w:t>
      </w:r>
    </w:p>
    <w:bookmarkEnd w:id="44"/>
    <w:bookmarkStart w:id="45" w:name="preregistered-route-c-disposition"/>
    <w:p>
      <w:pPr>
        <w:pStyle w:val="Heading2"/>
      </w:pPr>
      <w:r>
        <w:rPr>
          <w:rFonts w:ascii="Calibri" w:hAnsi="Calibri" w:eastAsia="Calibri" w:cs="Calibri" w:hint="eastAsia"/>
        </w:rPr>
        <w:t xml:space="preserve">7.4 Preregistered Route C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qualification deadline failure is one of the preregistered falsifiers.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selects Route C without a threshold change, selective rerun, smaller matrix,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reuse of the partial handoff. GitHub’s terminal metadata also reported two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never-executed downstream cancelled jobs with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second earlier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; the controller rejected that terminal observation fail-closed.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This provider-boundary anomaly did not create a false GO and did not cause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deadline failure. It is recorded as an implementation limitation for any future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lineage, not as permission to modify S1 and repeat this one-shot attempt.</w:t>
      </w:r>
    </w:p>
    <w:bookmarkEnd w:id="45"/>
    <w:bookmarkStart w:id="46" w:name="X1500b0de950b79c26d1689b0b644a3b16b3a427"/>
    <w:p>
      <w:pPr>
        <w:pStyle w:val="Heading2"/>
      </w:pPr>
      <w:r>
        <w:rPr>
          <w:rFonts w:ascii="Calibri" w:hAnsi="Calibri" w:eastAsia="Calibri" w:cs="Calibri" w:hint="eastAsia"/>
        </w:rPr>
        <w:t xml:space="preserve">7.5 Separately preregistered follow-up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follow-up was designed after the primary stop to answer a narrower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feasibility question without relaxing the original scientific matrix.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sole qualification, exact-S2 CI, PRE-S1, descriptive registration,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source-anchor, and independent-review controls all completed successfully.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production controller call then consumed the nonserialized capability, created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qualification claim, and dispatched exact-S2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33348855548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controller failed closed while establishing the watcher-admission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cancelled the run. GitHub recorded only its internal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Set up job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step;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repository checkout, identity check, seed normalization, registered-seed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computation, producer, replay, guard, or native stage ran. The other five jobs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had zero steps, the artifact inventory was empty, and the claim ref remained 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S2 rather than a watch-binding commit.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frozen attempt definition attaches to the sole authorized provider dispatch,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to the first scientific step. The run’s terminal non-success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exhausted the follow-up. Independent disposition reviews agreed that a direct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rerun or a repaired watcher followed by replacement S1/S2 would be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impermissible outcome-informed second attempt. The exact failing substep remains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unknown because the controller did not persist its nested exception chain;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unchanged ref alone cannot distinguish initial live-read construction,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message-commit creation, or compare-and-swap failure. This uncertainty is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control-plane limitation, not evidence about a maintenance strategy.</w:t>
      </w:r>
    </w:p>
    <w:bookmarkEnd w:id="46"/>
    <w:bookmarkStart w:id="47" w:name="X8046ec0c2b48693c25e7d28948fa12e8caa2283"/>
    <w:p>
      <w:pPr>
        <w:pStyle w:val="Heading2"/>
      </w:pPr>
      <w:r>
        <w:rPr>
          <w:rFonts w:ascii="Calibri" w:hAnsi="Calibri" w:eastAsia="Calibri" w:cs="Calibri" w:hint="eastAsia"/>
        </w:rPr>
        <w:t xml:space="preserve">7.6 Current-source deterministic conformance outcome</w:t>
      </w:r>
    </w:p>
    <w:p>
      <w:pPr>
        <w:pStyle w:val="FirstParagraph"/>
        <w:jc w:val="left"/>
      </w:pPr>
      <w:r>
        <w:rPr>
          <w:rFonts w:ascii="Calibri" w:hAnsi="Calibri" w:eastAsia="Calibri" w:cs="Calibri" w:hint="eastAsia"/>
        </w:rPr>
        <w:t xml:space="preserve">The independent controller audit accepted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33386130654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 exact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844fb062d78f5095f14599c6c71a27cb6034f001</w:t>
      </w:r>
      <w:r>
        <w:rPr>
          <w:rFonts w:ascii="Calibri" w:hAnsi="Calibri" w:eastAsia="Calibri" w:cs="Calibri" w:hint="eastAsia"/>
        </w:rPr>
        <w:t xml:space="preserve">, attempt 1. Every provider-visible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step succeeded. The only artifact was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9755741401</w:t>
      </w:r>
      <w:r>
        <w:rPr>
          <w:rFonts w:ascii="Calibri" w:hAnsi="Calibri" w:eastAsia="Calibri" w:cs="Calibri" w:hint="eastAsia"/>
        </w:rPr>
        <w:t xml:space="preserve">, named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strong-whole-query-witness-success-844fb062d78f5095f14599c6c71a27cb6034f001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 raw provider digest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sha256:5978b7d9f75048939c9761243e224abb588ed82c2abc64e051523a7a598a1383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downloaded ZIP independently reproduced that digest, contained exactly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19 prespecified files, passed all strict checksums and JSON-pointer checks,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rehashed every provenance-listed source against a fresh detached checkout of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immutable tag.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At that exact source, the prespecified OpenFHE 1.5.1 whole-query witness for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fixed 4096-by-8193 CSSC-base-plus-strong-delta fixture decrypted to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prespecified sparse vector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[(0, 128), (4095, 5)]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matched both independent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plaintext oracles; all 35 records in the eight-case deterministic contract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corpus passed. This is a single-source, single-fixture, version-bound functional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observation. It is not candidate admission, a complete-reference claim,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mixed-circuit safety, a security result, a deployment result, a performance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measurement, or evidence that the stopped strategy comparison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succeeded.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6. Current-source E4 conformance provenance.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Accepted observation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Immutable source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Tag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current-source-e4-conformance-20260831-v1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commit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844fb062d78f5095f14599c6c71a27cb6034f001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Direct and peeled tag refs matched before dispatch and after completion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Provider run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33386130654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job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99469043424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attempt 1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completed/success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all 15 visible steps succeeded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Provider artifact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9755741401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32,598 bytes; raw digest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sha256:5978b7d9…a1383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30-day artifact; exact run/ref/head binding; 19/19 files and strict checksums passed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Property contract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Seed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20260822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eight input cases; 35 records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35 passed, zero failed; all authority flags remained false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OpenFHE witness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1.5.1 at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1306d14f…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fixed 4096-by-8193 fixture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Valid decryptions;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[(0, 128), (4095, 5)]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typed and direct oracle matches true</w:t>
            </w:r>
          </w:p>
        </w:tc>
      </w:tr>
    </w:tbl>
    <w:bookmarkEnd w:id="47"/>
    <w:bookmarkEnd w:id="48"/>
    <w:bookmarkStart w:id="49" w:name="limitations"/>
    <w:p>
      <w:pPr>
        <w:pStyle w:val="Heading1"/>
      </w:pPr>
      <w:r>
        <w:rPr>
          <w:rFonts w:ascii="Calibri" w:hAnsi="Calibri" w:eastAsia="Calibri" w:cs="Calibri" w:hint="eastAsia"/>
        </w:rPr>
        <w:t xml:space="preserve">8. Limitations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threat model is narrow and provides no formal security theorem. Client 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learns layout and reconstruction metadata; the Cloud learns shapes,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schedules, timing, opaque identifiers, and digests. The current witness covers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frozen fixture and one segment width. The real-stream matrix uses one source,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deterministic partitions, and two registered semantics; it does not support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cross-domain generalization. The two synthetic scales do not identify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asymptotic exponent, and three fresh-key native repetitions do not identify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population distribution.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 is a registered count/byte projection,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timing measurement. Unit microbenchmarks do not imply end-to-end latency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noise safety, and type-derived byte bounds are not observed ciphertext sizes.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present boundary is operational rather than a comparative strategy result: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matrix was never authorized. Post-outcome retuning, threshold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changes, and selective reuse of qualification fragments are prohibited.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later follow-up also ended before repository or seed execution. It exposes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watcher-admission observability defect because the nested provider exception was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retained; it does not identify the failing substep, demonstrate a scientific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timeout, or justify another attempt. Future independent studies should exercise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log that control-plane seam before consuming a one-shot capability.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separate current-source conformance result covers only one reviewed source,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fixed fixture, one segment width, and a deterministic eight-case corpus.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does not generalize across matrices, parameters, implementations, workloads,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security adversaries, and its provider timestamps are not performance data.</w:t>
      </w:r>
    </w:p>
    <w:bookmarkEnd w:id="49"/>
    <w:bookmarkStart w:id="50" w:name="conclusion"/>
    <w:p>
      <w:pPr>
        <w:pStyle w:val="Heading1"/>
      </w:pPr>
      <w:r>
        <w:rPr>
          <w:rFonts w:ascii="Calibri" w:hAnsi="Calibri" w:eastAsia="Calibri" w:cs="Calibri" w:hint="eastAsia"/>
        </w:rPr>
        <w:t xml:space="preserve">9. Conclusion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Mutable encrypted sparse computation requires more than an updatable container: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state, query reorganization, encrypted execution, and reconstruction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to the same version and be evaluated under complete causal costs.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work supplies that explicit contract around CSSC,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mechanisms, and a fail-closed paired evaluation. The primary bounded attempt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shows the consequence of treating feasibility gates as real falsifiers: when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qualification did not reach its combined guard by the frozen deadline,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system produced no authority and the formal campaign did not run. A separately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preregistered follow-up later passed its prerequisite controls but failed while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arming the one-shot watcher before scientific execution; its provider run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zero-artifact record likewise terminated without formal authority. A distinct,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preregistered current-source conformance replication did pass one fixed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whole-query fixture and its eight-case deterministic contract at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source identity. The resulting Route C manuscript therefore makes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protocol, evidence-boundary, and narrowly version-bound functional claims,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comparative performance claims.</w:t>
      </w:r>
    </w:p>
    <w:bookmarkEnd w:id="50"/>
    <w:bookmarkStart w:id="51" w:name="data-and-code-availability"/>
    <w:p>
      <w:pPr>
        <w:pStyle w:val="Heading1"/>
      </w:pPr>
      <w:r>
        <w:rPr>
          <w:rFonts w:ascii="Calibri" w:hAnsi="Calibri" w:eastAsia="Calibri" w:cs="Calibri" w:hint="eastAsia"/>
        </w:rPr>
        <w:t xml:space="preserve">Data and code availability</w:t>
      </w:r>
    </w:p>
    <w:p>
      <w:pPr>
        <w:pStyle w:val="FirstParagraph"/>
        <w:jc w:val="left"/>
      </w:pPr>
      <w:r>
        <w:rPr>
          <w:rFonts w:ascii="Calibri" w:hAnsi="Calibri" w:eastAsia="Calibri" w:cs="Calibri" w:hint="eastAsia"/>
        </w:rPr>
        <w:t xml:space="preserve">The Route C package will identify the primary and follow-up S1/S2 pairs; their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Behavior Sets and compatibility receipts; exact-head CI, PRE-S1,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descriptive-registration, source-anchor, and independent-review identities;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dispositions; the frozen schemas, functional propositions,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record, current-source E4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33386130654</w:t>
      </w:r>
      <w:r>
        <w:rPr>
          <w:rFonts w:ascii="Calibri" w:hAnsi="Calibri" w:eastAsia="Calibri" w:cs="Calibri" w:hint="eastAsia"/>
        </w:rPr>
        <w:t xml:space="preserve">, artifact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9755741401</w:t>
      </w:r>
      <w:r>
        <w:rPr>
          <w:rFonts w:ascii="Calibri" w:hAnsi="Calibri" w:eastAsia="Calibri" w:cs="Calibri" w:hint="eastAsia"/>
        </w:rPr>
        <w:t xml:space="preserve">, raw digest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sha256:5978b7d9f75048939c9761243e224abb588ed82c2abc64e051523a7a598a1383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verification code. It will explicitly state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primary one-day q1 handoff was non-evidence, the follow-up produced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at all, and no acquisition, formal, terminal, aggregate, or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was created. The E4 artifact is functional conformance evidence, not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 artifact. No archival DOI is claimed by this working draft.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section must be replaced with the accepted repository release and archival DOI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submission.</w:t>
      </w:r>
    </w:p>
    <w:bookmarkEnd w:id="51"/>
    <w:bookmarkStart w:id="52" w:name="statements-and-declarations"/>
    <w:p>
      <w:pPr>
        <w:pStyle w:val="Heading1"/>
      </w:pPr>
      <w:r>
        <w:rPr>
          <w:rFonts w:ascii="Calibri" w:hAnsi="Calibri" w:eastAsia="Calibri" w:cs="Calibri" w:hint="eastAsia"/>
        </w:rPr>
        <w:t xml:space="preserve">Statements and declarations</w:t>
      </w:r>
    </w:p>
    <w:p>
      <w:pPr>
        <w:pStyle w:val="FirstParagraph"/>
      </w:pPr>
      <w:r>
        <w:rPr>
          <w:rFonts w:ascii="Calibri" w:hAnsi="Calibri" w:eastAsia="Calibri" w:cs="Calibri" w:hint="eastAsia"/>
          <w:b/>
          <w:bCs/>
        </w:rPr>
        <w:t xml:space="preserve">Funding.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supply the applicable funding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statement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Competing interests.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confirm and supply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competing-interest declaration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Author contributions.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[Insert the verified CRediT roles and author names;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AI system must not be listed as an author.]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Use of generative AI.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Generative-AI systems assisted literature discovery,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implementation and test generation, adversarial review, and manuscript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drafting. Human authors must independently verify every source, inspect and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released code and experiments, approve the final wording, and accept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accountability for the work. The exact disclosure will be rechecked against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publisher policy at submission.</w:t>
      </w:r>
    </w:p>
    <w:bookmarkEnd w:id="52"/>
    <w:bookmarkStart w:id="107" w:name="references"/>
    <w:p>
      <w:pPr>
        <w:pStyle w:val="Heading1"/>
      </w:pPr>
      <w:r>
        <w:rPr>
          <w:rFonts w:ascii="Calibri" w:hAnsi="Calibri" w:eastAsia="Calibri" w:cs="Calibri" w:hint="eastAsia"/>
        </w:rPr>
        <w:t xml:space="preserve">References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citation database for this working manuscript is</w:t>
      </w:r>
      <w:r>
        <w:rPr>
          <w:rFonts w:ascii="Calibri" w:hAnsi="Calibri" w:eastAsia="Calibri" w:cs="Calibri" w:hint="eastAsia"/>
        </w:rPr>
        <w:t xml:space="preserve"> </w:t>
      </w:r>
      <w:hyperlink r:id="rId53">
        <w:r>
          <w:rPr>
            <w:rStyle w:val="VerbatimChar"/>
          </w:rPr>
          <w:t xml:space="preserve">references.bib</w:t>
        </w:r>
      </w:hyperlink>
      <w:r>
        <w:rPr>
          <w:rFonts w:ascii="Calibri" w:hAnsi="Calibri" w:eastAsia="Calibri" w:cs="Calibri" w:hint="eastAsia"/>
        </w:rPr>
        <w:t xml:space="preserve">. The venue-formatted manuscript must render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citation above and preserve DOI/arXiv links; this draft must not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submitted with citation keys left unresolved.</w:t>
      </w:r>
    </w:p>
    <w:bookmarkStart w:id="106" w:name="refs"/>
    <w:bookmarkStart w:id="55" w:name="ref-bell2008spmvcuda"/>
    <w:p>
      <w:pPr>
        <w:pStyle w:val="Bibliography"/>
      </w:pPr>
      <w:r>
        <w:rPr>
          <w:rFonts w:ascii="Calibri" w:hAnsi="Calibri" w:eastAsia="Calibri" w:cs="Calibri" w:hint="eastAsia"/>
        </w:rPr>
        <w:t xml:space="preserve">Bell, Nathan, and Michael Garland. 2008.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Efficient Sparse Matrix-Vector Multiplication on CUDA</w:t>
      </w:r>
      <w:r>
        <w:rPr>
          <w:rFonts w:ascii="Calibri" w:hAnsi="Calibri" w:eastAsia="Calibri" w:cs="Calibri" w:hint="eastAsia"/>
        </w:rPr>
        <w:t xml:space="preserve">. NVR-2008-004. NVIDIA Corporation.</w:t>
      </w:r>
      <w:r>
        <w:rPr>
          <w:rFonts w:ascii="Calibri" w:hAnsi="Calibri" w:eastAsia="Calibri" w:cs="Calibri" w:hint="eastAsia"/>
        </w:rPr>
        <w:t xml:space="preserve"> </w:t>
      </w:r>
      <w:hyperlink r:id="rId54">
        <w:r>
          <w:rPr>
            <w:rStyle w:val="Hyperlink"/>
          </w:rPr>
          <w:t xml:space="preserve">https://mgarland.org/files/papers/nvr-2008-004.pdf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5"/>
    <w:bookmarkStart w:id="57" w:name="ref-bonawitz2017secureagg"/>
    <w:p>
      <w:pPr>
        <w:pStyle w:val="Bibliography"/>
      </w:pPr>
      <w:r>
        <w:rPr>
          <w:rFonts w:ascii="Calibri" w:hAnsi="Calibri" w:eastAsia="Calibri" w:cs="Calibri" w:hint="eastAsia"/>
        </w:rPr>
        <w:t xml:space="preserve">Bonawitz, Keith, Vladimir Ivanov, Ben Kreuter, et al.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“Practical Secure Aggregation for Privacy-Preserving Machine Learning.”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2017 ACM SIGSAC Conference on Computer and Communications Security</w:t>
      </w:r>
      <w:r>
        <w:rPr>
          <w:rFonts w:ascii="Calibri" w:hAnsi="Calibri" w:eastAsia="Calibri" w:cs="Calibri" w:hint="eastAsia"/>
        </w:rPr>
        <w:t xml:space="preserve">, 1175–91.</w:t>
      </w:r>
      <w:r>
        <w:rPr>
          <w:rFonts w:ascii="Calibri" w:hAnsi="Calibri" w:eastAsia="Calibri" w:cs="Calibri" w:hint="eastAsia"/>
        </w:rPr>
        <w:t xml:space="preserve"> </w:t>
      </w:r>
      <w:hyperlink r:id="rId56">
        <w:r>
          <w:rPr>
            <w:rStyle w:val="Hyperlink"/>
          </w:rPr>
          <w:t xml:space="preserve">https://doi.org/10.1145/3133956.3133982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7"/>
    <w:bookmarkStart w:id="59" w:name="ref-cash2014dynamic"/>
    <w:p>
      <w:pPr>
        <w:pStyle w:val="Bibliography"/>
      </w:pPr>
      <w:r>
        <w:rPr>
          <w:rFonts w:ascii="Calibri" w:hAnsi="Calibri" w:eastAsia="Calibri" w:cs="Calibri" w:hint="eastAsia"/>
        </w:rPr>
        <w:t xml:space="preserve">Cash, David, Joseph Jaeger, Stanislaw Jarecki, et al.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Searchable Encryption in Very-Large Databases: Data Structures and Implementation.”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Network and Distributed System Security Symposium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58">
        <w:r>
          <w:rPr>
            <w:rStyle w:val="Hyperlink"/>
          </w:rPr>
          <w:t xml:space="preserve">https://www.ndss-symposium.org/ndss2014/ndss-2014-programme/dynamic-searchable-encryption-very-large-databases-data-structures-and-implementation/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9"/>
    <w:bookmarkStart w:id="61" w:name="ref-chen2026ckksauthtree"/>
    <w:p>
      <w:pPr>
        <w:pStyle w:val="Bibliography"/>
      </w:pPr>
      <w:r>
        <w:rPr>
          <w:rFonts w:ascii="Calibri" w:hAnsi="Calibri" w:eastAsia="Calibri" w:cs="Calibri" w:hint="eastAsia"/>
        </w:rPr>
        <w:t xml:space="preserve">Chen, Qinghuan, Long Chen, Jimin Chen, Tao Li, Qinghong Cao, and Xiaoyang Zhou.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“Retrieval Integrity Verification Mechanism with Privacy Protection and Dynamic Updates for Blockchain Oracles.”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Electronics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15 (12): 2517.</w:t>
      </w:r>
      <w:r>
        <w:rPr>
          <w:rFonts w:ascii="Calibri" w:hAnsi="Calibri" w:eastAsia="Calibri" w:cs="Calibri" w:hint="eastAsia"/>
        </w:rPr>
        <w:t xml:space="preserve"> </w:t>
      </w:r>
      <w:hyperlink r:id="rId60">
        <w:r>
          <w:rPr>
            <w:rStyle w:val="Hyperlink"/>
          </w:rPr>
          <w:t xml:space="preserve">https://doi.org/10.3390/electronics15122517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1"/>
    <w:bookmarkStart w:id="63" w:name="ref-crooks2018obladi"/>
    <w:p>
      <w:pPr>
        <w:pStyle w:val="Bibliography"/>
      </w:pPr>
      <w:r>
        <w:rPr>
          <w:rFonts w:ascii="Calibri" w:hAnsi="Calibri" w:eastAsia="Calibri" w:cs="Calibri" w:hint="eastAsia"/>
        </w:rPr>
        <w:t xml:space="preserve">Crooks, Natacha, Matthew Burke, Ethan Cecchetti, Sitar Harel, Rachit Agarwal, and Lorenzo Alvisi. 2018.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“Obladi: Oblivious Serializable Transactions in the Cloud.”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13th USENIX Symposium on Operating Systems Design and Implementation</w:t>
      </w:r>
      <w:r>
        <w:rPr>
          <w:rFonts w:ascii="Calibri" w:hAnsi="Calibri" w:eastAsia="Calibri" w:cs="Calibri" w:hint="eastAsia"/>
        </w:rPr>
        <w:t xml:space="preserve">, 727–43.</w:t>
      </w:r>
      <w:r>
        <w:rPr>
          <w:rFonts w:ascii="Calibri" w:hAnsi="Calibri" w:eastAsia="Calibri" w:cs="Calibri" w:hint="eastAsia"/>
        </w:rPr>
        <w:t xml:space="preserve"> </w:t>
      </w:r>
      <w:hyperlink r:id="rId62">
        <w:r>
          <w:rPr>
            <w:rStyle w:val="Hyperlink"/>
          </w:rPr>
          <w:t xml:space="preserve">https://www.usenix.org/conference/osdi18/presentation/crooks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3"/>
    <w:bookmarkStart w:id="65" w:name="ref-dagata2026gpu"/>
    <w:p>
      <w:pPr>
        <w:pStyle w:val="Bibliography"/>
      </w:pPr>
      <w:r>
        <w:rPr>
          <w:rFonts w:ascii="Calibri" w:hAnsi="Calibri" w:eastAsia="Calibri" w:cs="Calibri" w:hint="eastAsia"/>
        </w:rPr>
        <w:t xml:space="preserve">D’Agata, Lara, Carlos Agulló-Domingo, Óscar Vera-López, et al.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Acceleration of Sparse Fully Homomorphic Encrypted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DNNs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Sixth European Workshop on Machine Learning and Systems</w:t>
      </w:r>
      <w:r>
        <w:rPr>
          <w:rFonts w:ascii="Calibri" w:hAnsi="Calibri" w:eastAsia="Calibri" w:cs="Calibri" w:hint="eastAsia"/>
        </w:rPr>
        <w:t xml:space="preserve">, 155–62.</w:t>
      </w:r>
      <w:r>
        <w:rPr>
          <w:rFonts w:ascii="Calibri" w:hAnsi="Calibri" w:eastAsia="Calibri" w:cs="Calibri" w:hint="eastAsia"/>
        </w:rPr>
        <w:t xml:space="preserve"> </w:t>
      </w:r>
      <w:hyperlink r:id="rId64">
        <w:r>
          <w:rPr>
            <w:rStyle w:val="Hyperlink"/>
          </w:rPr>
          <w:t xml:space="preserve">https://doi.org/10.1145/3805621.3807642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5"/>
    <w:bookmarkStart w:id="67" w:name="ref-damie2025secure"/>
    <w:p>
      <w:pPr>
        <w:pStyle w:val="Bibliography"/>
      </w:pPr>
      <w:r>
        <w:rPr>
          <w:rFonts w:ascii="Calibri" w:hAnsi="Calibri" w:eastAsia="Calibri" w:cs="Calibri" w:hint="eastAsia"/>
        </w:rPr>
        <w:t xml:space="preserve">Damie, Marc, Florian Hahn, Andreas Peter, and Jan Ramon.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Secure Sparse Matrix Multiplications and Their Applications to Privacy-Preserving Machine Learning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66">
        <w:r>
          <w:rPr>
            <w:rStyle w:val="Hyperlink"/>
          </w:rPr>
          <w:t xml:space="preserve">https://arxiv.org/abs/2510.14894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7"/>
    <w:bookmarkStart w:id="69" w:name="ref-fan2012somewhat"/>
    <w:p>
      <w:pPr>
        <w:pStyle w:val="Bibliography"/>
      </w:pPr>
      <w:r>
        <w:rPr>
          <w:rFonts w:ascii="Calibri" w:hAnsi="Calibri" w:eastAsia="Calibri" w:cs="Calibri" w:hint="eastAsia"/>
        </w:rPr>
        <w:t xml:space="preserve">Fan, Junfeng, and Frederik Vercauteren. 2012.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Somewhat Practical Fully Homomorphic Encryption</w:t>
      </w:r>
      <w:r>
        <w:rPr>
          <w:rFonts w:ascii="Calibri" w:hAnsi="Calibri" w:eastAsia="Calibri" w:cs="Calibri" w:hint="eastAsia"/>
        </w:rPr>
        <w:t xml:space="preserve">. Cryptology ePrint Archive, Report 2012/144.</w:t>
      </w:r>
      <w:r>
        <w:rPr>
          <w:rFonts w:ascii="Calibri" w:hAnsi="Calibri" w:eastAsia="Calibri" w:cs="Calibri" w:hint="eastAsia"/>
        </w:rPr>
        <w:t xml:space="preserve"> </w:t>
      </w:r>
      <w:hyperlink r:id="rId68">
        <w:r>
          <w:rPr>
            <w:rStyle w:val="Hyperlink"/>
          </w:rPr>
          <w:t xml:space="preserve">https://eprint.iacr.org/2012/144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9"/>
    <w:bookmarkStart w:id="71" w:name="ref-ferguson2025unstructured"/>
    <w:p>
      <w:pPr>
        <w:pStyle w:val="Bibliography"/>
      </w:pPr>
      <w:r>
        <w:rPr>
          <w:rFonts w:ascii="Calibri" w:hAnsi="Calibri" w:eastAsia="Calibri" w:cs="Calibri" w:hint="eastAsia"/>
        </w:rPr>
        <w:t xml:space="preserve">Ferguson, Aidan, Perry Gibson, Lara D’Agata, et al.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“Exploiting Unstructured Sparsity in Fully Homomorphic Encrypted DNNs.”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5th Workshop on Machine Learning and Systems</w:t>
      </w:r>
      <w:r>
        <w:rPr>
          <w:rFonts w:ascii="Calibri" w:hAnsi="Calibri" w:eastAsia="Calibri" w:cs="Calibri" w:hint="eastAsia"/>
        </w:rPr>
        <w:t xml:space="preserve">, 31–38.</w:t>
      </w:r>
      <w:r>
        <w:rPr>
          <w:rFonts w:ascii="Calibri" w:hAnsi="Calibri" w:eastAsia="Calibri" w:cs="Calibri" w:hint="eastAsia"/>
        </w:rPr>
        <w:t xml:space="preserve"> </w:t>
      </w:r>
      <w:hyperlink r:id="rId70">
        <w:r>
          <w:rPr>
            <w:rStyle w:val="Hyperlink"/>
          </w:rPr>
          <w:t xml:space="preserve">https://doi.org/10.1145/3721146.3721948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1"/>
    <w:bookmarkStart w:id="73" w:name="ref-gao2026cssc"/>
    <w:p>
      <w:pPr>
        <w:pStyle w:val="Bibliography"/>
      </w:pPr>
      <w:r>
        <w:rPr>
          <w:rFonts w:ascii="Calibri" w:hAnsi="Calibri" w:eastAsia="Calibri" w:cs="Calibri" w:hint="eastAsia"/>
        </w:rPr>
        <w:t xml:space="preserve">Gao, Yang, Gang Quan, Wujie Wen, Scott Piersall, Qian Lou, and Liqiang Wang.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“Efficient Privacy-Preserving Sparse Matrix-Vector Multiplication Using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Information Sciences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739: 123180.</w:t>
      </w:r>
      <w:r>
        <w:rPr>
          <w:rFonts w:ascii="Calibri" w:hAnsi="Calibri" w:eastAsia="Calibri" w:cs="Calibri" w:hint="eastAsia"/>
        </w:rPr>
        <w:t xml:space="preserve"> </w:t>
      </w:r>
      <w:hyperlink r:id="rId72">
        <w:r>
          <w:rPr>
            <w:rStyle w:val="Hyperlink"/>
          </w:rPr>
          <w:t xml:space="preserve">https://doi.org/10.1016/j.ins.2026.123180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3"/>
    <w:bookmarkStart w:id="75" w:name="ref-halevi2014algorithms"/>
    <w:p>
      <w:pPr>
        <w:pStyle w:val="Bibliography"/>
      </w:pPr>
      <w:r>
        <w:rPr>
          <w:rFonts w:ascii="Calibri" w:hAnsi="Calibri" w:eastAsia="Calibri" w:cs="Calibri" w:hint="eastAsia"/>
        </w:rPr>
        <w:t xml:space="preserve">Halevi, Shai, and Victor Shoup.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“Algorithms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HElib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Advances in Cryptology –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CRYPTO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2014, Part i</w:t>
      </w:r>
      <w:r>
        <w:rPr>
          <w:rFonts w:ascii="Calibri" w:hAnsi="Calibri" w:eastAsia="Calibri" w:cs="Calibri" w:hint="eastAsia"/>
        </w:rPr>
        <w:t xml:space="preserve">, edited by Juan A. Garay and Rosario Gennaro, vol. 8616. Lecture Notes in Computer Science. Springer Berlin Heidelberg.</w:t>
      </w:r>
      <w:r>
        <w:rPr>
          <w:rFonts w:ascii="Calibri" w:hAnsi="Calibri" w:eastAsia="Calibri" w:cs="Calibri" w:hint="eastAsia"/>
        </w:rPr>
        <w:t xml:space="preserve"> </w:t>
      </w:r>
      <w:hyperlink r:id="rId74">
        <w:r>
          <w:rPr>
            <w:rStyle w:val="Hyperlink"/>
          </w:rPr>
          <w:t xml:space="preserve">https://doi.org/10.1007/978-3-662-44371-2_31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5"/>
    <w:bookmarkStart w:id="77" w:name="ref-he2024rhombus"/>
    <w:p>
      <w:pPr>
        <w:pStyle w:val="Bibliography"/>
      </w:pPr>
      <w:r>
        <w:rPr>
          <w:rFonts w:ascii="Calibri" w:hAnsi="Calibri" w:eastAsia="Calibri" w:cs="Calibri" w:hint="eastAsia"/>
        </w:rPr>
        <w:t xml:space="preserve">He, Jiaxing, Kang Yang, Guofeng Tang, et al.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“Rhombus: Fast Homomorphic Matrix-Vector Multiplication for Secure Two-Party Inference.”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2024 ACM SIGSAC Conference on Computer and Communications Security</w:t>
      </w:r>
      <w:r>
        <w:rPr>
          <w:rFonts w:ascii="Calibri" w:hAnsi="Calibri" w:eastAsia="Calibri" w:cs="Calibri" w:hint="eastAsia"/>
        </w:rPr>
        <w:t xml:space="preserve">, 2490–504.</w:t>
      </w:r>
      <w:r>
        <w:rPr>
          <w:rFonts w:ascii="Calibri" w:hAnsi="Calibri" w:eastAsia="Calibri" w:cs="Calibri" w:hint="eastAsia"/>
        </w:rPr>
        <w:t xml:space="preserve"> </w:t>
      </w:r>
      <w:hyperlink r:id="rId76">
        <w:r>
          <w:rPr>
            <w:rStyle w:val="Hyperlink"/>
          </w:rPr>
          <w:t xml:space="preserve">https://doi.org/10.1145/3658644.3690281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7"/>
    <w:bookmarkStart w:id="79" w:name="ref-king2016dynamiccsr"/>
    <w:p>
      <w:pPr>
        <w:pStyle w:val="Bibliography"/>
      </w:pPr>
      <w:r>
        <w:rPr>
          <w:rFonts w:ascii="Calibri" w:hAnsi="Calibri" w:eastAsia="Calibri" w:cs="Calibri" w:hint="eastAsia"/>
        </w:rPr>
        <w:t xml:space="preserve">King, James, Thomas Gilray, Robert M. Kirby, and Matthew Might. 2016.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Sparse-Matrix Allocation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GPUs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High Performance Computing: ISC High Performance 2016</w:t>
      </w:r>
      <w:r>
        <w:rPr>
          <w:rFonts w:ascii="Calibri" w:hAnsi="Calibri" w:eastAsia="Calibri" w:cs="Calibri" w:hint="eastAsia"/>
        </w:rPr>
        <w:t xml:space="preserve">, Lecture notes in computer science, vol. 9697: 61–80.</w:t>
      </w:r>
      <w:r>
        <w:rPr>
          <w:rFonts w:ascii="Calibri" w:hAnsi="Calibri" w:eastAsia="Calibri" w:cs="Calibri" w:hint="eastAsia"/>
        </w:rPr>
        <w:t xml:space="preserve"> </w:t>
      </w:r>
      <w:hyperlink r:id="rId78">
        <w:r>
          <w:rPr>
            <w:rStyle w:val="Hyperlink"/>
          </w:rPr>
          <w:t xml:space="preserve">https://doi.org/10.1007/978-3-319-41321-1_4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9"/>
    <w:bookmarkStart w:id="81" w:name="ref-kreutzer2014sellcsigma"/>
    <w:p>
      <w:pPr>
        <w:pStyle w:val="Bibliography"/>
      </w:pPr>
      <w:r>
        <w:rPr>
          <w:rFonts w:ascii="Calibri" w:hAnsi="Calibri" w:eastAsia="Calibri" w:cs="Calibri" w:hint="eastAsia"/>
        </w:rPr>
        <w:t xml:space="preserve">Kreutzer, Moritz, Georg Hager, Gerhard Wellein, Holger Fehske, and Alan R. Bishop.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 Unified Sparse Matrix Data Format for Efficient General Sparse Matrix-Vector Multiply on Modern Processors with Wide SIMD Units.”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SIAM Journal on Scientific Computing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36 (5): C401–23.</w:t>
      </w:r>
      <w:r>
        <w:rPr>
          <w:rFonts w:ascii="Calibri" w:hAnsi="Calibri" w:eastAsia="Calibri" w:cs="Calibri" w:hint="eastAsia"/>
        </w:rPr>
        <w:t xml:space="preserve"> </w:t>
      </w:r>
      <w:hyperlink r:id="rId80">
        <w:r>
          <w:rPr>
            <w:rStyle w:val="Hyperlink"/>
          </w:rPr>
          <w:t xml:space="preserve">https://doi.org/10.1137/130930352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1"/>
    <w:bookmarkStart w:id="83" w:name="ref-liu2024ddse"/>
    <w:p>
      <w:pPr>
        <w:pStyle w:val="Bibliography"/>
      </w:pPr>
      <w:r>
        <w:rPr>
          <w:rFonts w:ascii="Calibri" w:hAnsi="Calibri" w:eastAsia="Calibri" w:cs="Calibri" w:hint="eastAsia"/>
        </w:rPr>
        <w:t xml:space="preserve">Liu, Dongli, Wei Wang, Peng Xu, Laurence T. Yang, Bo Luo, and Kaitai Liang.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d-DSE</w:t>
      </w:r>
      <w:r>
        <w:rPr>
          <w:rFonts w:ascii="Calibri" w:hAnsi="Calibri" w:eastAsia="Calibri" w:cs="Calibri" w:hint="eastAsia"/>
        </w:rPr>
        <w:t xml:space="preserve">: Distinct Dynamic Searchable Encryption Resisting Volume Leakage in Encrypted Databases.”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33rd USENIX Security Symposium (USENIX Security 24)</w:t>
      </w:r>
      <w:r>
        <w:rPr>
          <w:rFonts w:ascii="Calibri" w:hAnsi="Calibri" w:eastAsia="Calibri" w:cs="Calibri" w:hint="eastAsia"/>
        </w:rPr>
        <w:t xml:space="preserve">, 2563–80.</w:t>
      </w:r>
      <w:r>
        <w:rPr>
          <w:rFonts w:ascii="Calibri" w:hAnsi="Calibri" w:eastAsia="Calibri" w:cs="Calibri" w:hint="eastAsia"/>
        </w:rPr>
        <w:t xml:space="preserve"> </w:t>
      </w:r>
      <w:hyperlink r:id="rId82">
        <w:r>
          <w:rPr>
            <w:rStyle w:val="Hyperlink"/>
          </w:rPr>
          <w:t xml:space="preserve">https://www.usenix.org/conference/usenixsecurity24/presentation/liu-dongli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3"/>
    <w:bookmarkStart w:id="85" w:name="ref-mutluergil2026diagonal"/>
    <w:p>
      <w:pPr>
        <w:pStyle w:val="Bibliography"/>
      </w:pPr>
      <w:r>
        <w:rPr>
          <w:rFonts w:ascii="Calibri" w:hAnsi="Calibri" w:eastAsia="Calibri" w:cs="Calibri" w:hint="eastAsia"/>
        </w:rPr>
        <w:t xml:space="preserve">Mutluergil, Kemal, Deniz Elbek, Kamer Kaya, and Erkay Savaş.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Diagonal Packing for Efficient Homomorphic Sparse Matrix-Vector Multiplication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84">
        <w:r>
          <w:rPr>
            <w:rStyle w:val="Hyperlink"/>
          </w:rPr>
          <w:t xml:space="preserve">https://arxiv.org/abs/2604.04683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5"/>
    <w:bookmarkStart w:id="87" w:name="ref-oneil1996lsm"/>
    <w:p>
      <w:pPr>
        <w:pStyle w:val="Bibliography"/>
      </w:pPr>
      <w:r>
        <w:rPr>
          <w:rFonts w:ascii="Calibri" w:hAnsi="Calibri" w:eastAsia="Calibri" w:cs="Calibri" w:hint="eastAsia"/>
        </w:rPr>
        <w:t xml:space="preserve">O’Neil, Patrick, Edward Cheng, Dieter Gawlick, and Elizabeth O’Neil. 1996.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“The Log-Structured Merge-Tree (LSM-Tree).”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Acta Informatica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33 (4): 351–85.</w:t>
      </w:r>
      <w:r>
        <w:rPr>
          <w:rFonts w:ascii="Calibri" w:hAnsi="Calibri" w:eastAsia="Calibri" w:cs="Calibri" w:hint="eastAsia"/>
        </w:rPr>
        <w:t xml:space="preserve"> </w:t>
      </w:r>
      <w:hyperlink r:id="rId86">
        <w:r>
          <w:rPr>
            <w:rStyle w:val="Hyperlink"/>
          </w:rPr>
          <w:t xml:space="preserve">https://doi.org/10.1007/s002360050048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7"/>
    <w:bookmarkStart w:id="89" w:name="ref-openfhe151"/>
    <w:p>
      <w:pPr>
        <w:pStyle w:val="Bibliography"/>
      </w:pPr>
      <w:r>
        <w:rPr>
          <w:rFonts w:ascii="Calibri" w:hAnsi="Calibri" w:eastAsia="Calibri" w:cs="Calibri" w:hint="eastAsia"/>
        </w:rPr>
        <w:t xml:space="preserve">OpenFHE Development Team.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OpenFHE Development Repository, Version 1.5.1 Source Snapshot</w:t>
      </w:r>
      <w:r>
        <w:rPr>
          <w:rFonts w:ascii="Calibri" w:hAnsi="Calibri" w:eastAsia="Calibri" w:cs="Calibri" w:hint="eastAsia"/>
        </w:rPr>
        <w:t xml:space="preserve">. Git commit 1306d14f8c26bb6150d3e6ad54f28dfe1007689e.</w:t>
      </w:r>
      <w:r>
        <w:rPr>
          <w:rFonts w:ascii="Calibri" w:hAnsi="Calibri" w:eastAsia="Calibri" w:cs="Calibri" w:hint="eastAsia"/>
        </w:rPr>
        <w:t xml:space="preserve"> </w:t>
      </w:r>
      <w:hyperlink r:id="rId88">
        <w:r>
          <w:rPr>
            <w:rStyle w:val="Hyperlink"/>
          </w:rPr>
          <w:t xml:space="preserve">https://github.com/openfheorg/openfhe-development/tree/1306d14f8c26bb6150d3e6ad54f28dfe1007689e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9"/>
    <w:bookmarkStart w:id="91" w:name="X25cb68a9261baf26b64cc014026bbfce216a4f2"/>
    <w:p>
      <w:pPr>
        <w:pStyle w:val="Bibliography"/>
      </w:pPr>
      <w:r>
        <w:rPr>
          <w:rFonts w:ascii="Calibri" w:hAnsi="Calibri" w:eastAsia="Calibri" w:cs="Calibri" w:hint="eastAsia"/>
        </w:rPr>
        <w:t xml:space="preserve">Paranjape, Ashwin, Austin R. Benson, and Jure Leskovec.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“Motifs in Temporal Networks.”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Tenth ACM International Conference on Web Search and Data Mining</w:t>
      </w:r>
      <w:r>
        <w:rPr>
          <w:rFonts w:ascii="Calibri" w:hAnsi="Calibri" w:eastAsia="Calibri" w:cs="Calibri" w:hint="eastAsia"/>
        </w:rPr>
        <w:t xml:space="preserve">, 601–10.</w:t>
      </w:r>
      <w:r>
        <w:rPr>
          <w:rFonts w:ascii="Calibri" w:hAnsi="Calibri" w:eastAsia="Calibri" w:cs="Calibri" w:hint="eastAsia"/>
        </w:rPr>
        <w:t xml:space="preserve"> </w:t>
      </w:r>
      <w:hyperlink r:id="rId90">
        <w:r>
          <w:rPr>
            <w:rStyle w:val="Hyperlink"/>
          </w:rPr>
          <w:t xml:space="preserve">https://doi.org/10.1145/3018661.3018731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1"/>
    <w:bookmarkStart w:id="93" w:name="ref-parbat2023authorized"/>
    <w:p>
      <w:pPr>
        <w:pStyle w:val="Bibliography"/>
      </w:pPr>
      <w:r>
        <w:rPr>
          <w:rFonts w:ascii="Calibri" w:hAnsi="Calibri" w:eastAsia="Calibri" w:cs="Calibri" w:hint="eastAsia"/>
        </w:rPr>
        <w:t xml:space="preserve">Parbat, Tanusree, and Ayantika Chatterjee.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“Authorized Update in Multi-User Homomorphic Encrypted Cloud Database.”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(8): 7796–808.</w:t>
      </w:r>
      <w:r>
        <w:rPr>
          <w:rFonts w:ascii="Calibri" w:hAnsi="Calibri" w:eastAsia="Calibri" w:cs="Calibri" w:hint="eastAsia"/>
        </w:rPr>
        <w:t xml:space="preserve"> </w:t>
      </w:r>
      <w:hyperlink r:id="rId92">
        <w:r>
          <w:rPr>
            <w:rStyle w:val="Hyperlink"/>
          </w:rPr>
          <w:t xml:space="preserve">https://doi.org/10.1109/TKDE.2022.3221148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3"/>
    <w:bookmarkStart w:id="95" w:name="ref-snap_stackoverflow_temporal_network"/>
    <w:p>
      <w:pPr>
        <w:pStyle w:val="Bibliography"/>
      </w:pPr>
      <w:r>
        <w:rPr>
          <w:rFonts w:ascii="Calibri" w:hAnsi="Calibri" w:eastAsia="Calibri" w:cs="Calibri" w:hint="eastAsia"/>
        </w:rPr>
        <w:t xml:space="preserve">Stanford Network Analysis Project. n.d.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Stack Overflow Temporal Network</w:t>
      </w:r>
      <w:r>
        <w:rPr>
          <w:rFonts w:ascii="Calibri" w:hAnsi="Calibri" w:eastAsia="Calibri" w:cs="Calibri" w:hint="eastAsia"/>
        </w:rPr>
        <w:t xml:space="preserve">. Stanford Network Analysis Project.</w:t>
      </w:r>
      <w:r>
        <w:rPr>
          <w:rFonts w:ascii="Calibri" w:hAnsi="Calibri" w:eastAsia="Calibri" w:cs="Calibri" w:hint="eastAsia"/>
        </w:rPr>
        <w:t xml:space="preserve"> </w:t>
      </w:r>
      <w:hyperlink r:id="rId94">
        <w:r>
          <w:rPr>
            <w:rStyle w:val="Hyperlink"/>
          </w:rPr>
          <w:t xml:space="preserve">https://snap.stanford.edu/data/sx-stackoverflow.html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5"/>
    <w:bookmarkStart w:id="97" w:name="ref-stylianou2022morpheus"/>
    <w:p>
      <w:pPr>
        <w:pStyle w:val="Bibliography"/>
      </w:pPr>
      <w:r>
        <w:rPr>
          <w:rFonts w:ascii="Calibri" w:hAnsi="Calibri" w:eastAsia="Calibri" w:cs="Calibri" w:hint="eastAsia"/>
        </w:rPr>
        <w:t xml:space="preserve">Stylianou, Chris, and Michele Weiland. 2022.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Exploiting Dynamic Sparse Matrices for Performance Portable Linear Algebra Operations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96">
        <w:r>
          <w:rPr>
            <w:rStyle w:val="Hyperlink"/>
          </w:rPr>
          <w:t xml:space="preserve">https://arxiv.org/abs/2209.06478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7"/>
    <w:bookmarkStart w:id="99" w:name="ref-vo2021shielddb"/>
    <w:p>
      <w:pPr>
        <w:pStyle w:val="Bibliography"/>
      </w:pPr>
      <w:r>
        <w:rPr>
          <w:rFonts w:ascii="Calibri" w:hAnsi="Calibri" w:eastAsia="Calibri" w:cs="Calibri" w:hint="eastAsia"/>
        </w:rPr>
        <w:t xml:space="preserve">Vo, Viet, Xingliang Yuan, Shi-Feng Sun, Joseph K. Liu, Surya Nepal, and Cong Wang.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“ShieldDB: An Encrypted Document Database with Padding Countermeasures.”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(4): 4236–52.</w:t>
      </w:r>
      <w:r>
        <w:rPr>
          <w:rFonts w:ascii="Calibri" w:hAnsi="Calibri" w:eastAsia="Calibri" w:cs="Calibri" w:hint="eastAsia"/>
        </w:rPr>
        <w:t xml:space="preserve"> </w:t>
      </w:r>
      <w:hyperlink r:id="rId98">
        <w:r>
          <w:rPr>
            <w:rStyle w:val="Hyperlink"/>
          </w:rPr>
          <w:t xml:space="preserve">https://doi.org/10.1109/TKDE.2021.3126607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9"/>
    <w:bookmarkStart w:id="101" w:name="ref-wei2026sparsee"/>
    <w:p>
      <w:pPr>
        <w:pStyle w:val="Bibliography"/>
      </w:pPr>
      <w:r>
        <w:rPr>
          <w:rFonts w:ascii="Calibri" w:hAnsi="Calibri" w:eastAsia="Calibri" w:cs="Calibri" w:hint="eastAsia"/>
        </w:rPr>
        <w:t xml:space="preserve">Wei, Yuntao, Xueyan Wang, Song Bian, Yier Jin, and Weisheng Zhao.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SparseE</w:t>
      </w:r>
      <w:r>
        <w:rPr>
          <w:rFonts w:ascii="Calibri" w:hAnsi="Calibri" w:eastAsia="Calibri" w:cs="Calibri" w:hint="eastAsia"/>
          <w:i/>
          <w:iCs/>
        </w:rPr>
        <w:t xml:space="preserve">: Unlocking Sparsities in Encrypted Sparse Matrix Multiplication via Hardware-Software Co-Design</w:t>
      </w:r>
      <w:r>
        <w:rPr>
          <w:rFonts w:ascii="Calibri" w:hAnsi="Calibri" w:eastAsia="Calibri" w:cs="Calibri" w:hint="eastAsia"/>
        </w:rPr>
        <w:t xml:space="preserve">. 63rd Design Automation Conference Research Manuscript Program.</w:t>
      </w:r>
      <w:r>
        <w:rPr>
          <w:rFonts w:ascii="Calibri" w:hAnsi="Calibri" w:eastAsia="Calibri" w:cs="Calibri" w:hint="eastAsia"/>
        </w:rPr>
        <w:t xml:space="preserve"> </w:t>
      </w:r>
      <w:hyperlink r:id="rId100">
        <w:r>
          <w:rPr>
            <w:rStyle w:val="Hyperlink"/>
          </w:rPr>
          <w:t xml:space="preserve">https://63dac.conference-program.com/presentation/?id=RESEARCH2265\&amp;sess=sess108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1"/>
    <w:bookmarkStart w:id="103" w:name="ref-xiong2026cipherskip"/>
    <w:p>
      <w:pPr>
        <w:pStyle w:val="Bibliography"/>
      </w:pPr>
      <w:r>
        <w:rPr>
          <w:rFonts w:ascii="Calibri" w:hAnsi="Calibri" w:eastAsia="Calibri" w:cs="Calibri" w:hint="eastAsia"/>
        </w:rPr>
        <w:t xml:space="preserve">Xiong, Wujie, Hao Zhou, Yutong Ye, Ruoming Jin, and Lei Xu.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CipherSkip</w:t>
      </w:r>
      <w:r>
        <w:rPr>
          <w:rFonts w:ascii="Calibri" w:hAnsi="Calibri" w:eastAsia="Calibri" w:cs="Calibri" w:hint="eastAsia"/>
        </w:rPr>
        <w:t xml:space="preserve">: Efficient Sparse Matrix Multiplication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FHE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40th ACM International Conference on Supercomputing</w:t>
      </w:r>
      <w:r>
        <w:rPr>
          <w:rFonts w:ascii="Calibri" w:hAnsi="Calibri" w:eastAsia="Calibri" w:cs="Calibri" w:hint="eastAsia"/>
        </w:rPr>
        <w:t xml:space="preserve">, 1220–31.</w:t>
      </w:r>
      <w:r>
        <w:rPr>
          <w:rFonts w:ascii="Calibri" w:hAnsi="Calibri" w:eastAsia="Calibri" w:cs="Calibri" w:hint="eastAsia"/>
        </w:rPr>
        <w:t xml:space="preserve"> </w:t>
      </w:r>
      <w:hyperlink r:id="rId102">
        <w:r>
          <w:rPr>
            <w:rStyle w:val="Hyperlink"/>
          </w:rPr>
          <w:t xml:space="preserve">https://doi.org/10.1145/3797905.3807876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3"/>
    <w:bookmarkStart w:id="105" w:name="ref-yu2025lodia"/>
    <w:p>
      <w:pPr>
        <w:pStyle w:val="Bibliography"/>
      </w:pPr>
      <w:r>
        <w:rPr>
          <w:rFonts w:ascii="Calibri" w:hAnsi="Calibri" w:eastAsia="Calibri" w:cs="Calibri" w:hint="eastAsia"/>
        </w:rPr>
        <w:t xml:space="preserve">Yu, Jiping, Kun Chen, Xiaoyu Fan, Yunyi Chen, Xiaowei Zhu, and Wenguang Chen.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“Lodia: Towards Optimal Sparse Matrix-Vector Multiplication for Batched Fully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2025 ACM SIGSAC Conference on Computer and Communications Security</w:t>
      </w:r>
      <w:r>
        <w:rPr>
          <w:rFonts w:ascii="Calibri" w:hAnsi="Calibri" w:eastAsia="Calibri" w:cs="Calibri" w:hint="eastAsia"/>
        </w:rPr>
        <w:t xml:space="preserve">, 3649–63.</w:t>
      </w:r>
      <w:r>
        <w:rPr>
          <w:rFonts w:ascii="Calibri" w:hAnsi="Calibri" w:eastAsia="Calibri" w:cs="Calibri" w:hint="eastAsia"/>
        </w:rPr>
        <w:t xml:space="preserve"> </w:t>
      </w:r>
      <w:hyperlink r:id="rId104">
        <w:r>
          <w:rPr>
            <w:rStyle w:val="Hyperlink"/>
          </w:rPr>
          <w:t xml:space="preserve">https://doi.org/10.1145/3719027.3765025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5"/>
    <w:bookmarkEnd w:id="106"/>
    <w:bookmarkEnd w:id="107"/>
    <w:bookmarkEnd w:id="108"/>
    <w:sectPr>
      <w:headerReference w:type="default" r:id="rId9"/>
      <w:headerReference w:type="first" r:id="rId10"/>
      <w:footerReference w:type="defaul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  <w:t>VERSION-BOUND MUTABLE CSSC SPMV • ROUTE C WORKING MANUSCRIPT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540" w:hanging="279"/>
        <w:tabs>
          <w:tab w:val="num" w:pos="540"/>
        </w:tabs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540" w:hanging="279"/>
        <w:tabs>
          <w:tab w:val="num" w:pos="540"/>
        </w:tabs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styleId="BodyText" w:type="paragraph">
    <w:name w:val="Body Text"/>
    <w:basedOn w:val="Normal"/>
    <w:link w:val="BodyTextChar"/>
    <w:qFormat/>
    <w:pPr>
      <w:spacing w:after="160" w:before="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00" w:line="240" w:lineRule="auto" w:before="0"/>
      <w:contextualSpacing/>
      <w:jc w:val="left"/>
    </w:pPr>
    <w:rPr>
      <w:rFonts w:asciiTheme="majorHAnsi" w:cstheme="majorBidi" w:eastAsiaTheme="majorEastAsia" w:hAnsiTheme="majorHAnsi" w:ascii="Calibri" w:hAnsi="Calibri" w:eastAsia="Calibri" w:cs="Calibri" w:hint="eastAsia"/>
      <w:b/>
      <w:color w:val="0B2545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Calibri" w:cs="Calibr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Calibri" w:cs="Calibri" w:hint="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rFonts w:ascii="Calibri" w:hAnsi="Calibri" w:eastAsia="Calibri" w:cs="Calibri" w:hint="eastAsi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eastAsia="Calibri" w:cs="Calibri" w:hint="eastAsia"/>
    </w:rPr>
  </w:style>
  <w:style w:styleId="Bibliography" w:type="paragraph">
    <w:name w:val="Bibliography"/>
    <w:basedOn w:val="Normal"/>
    <w:next w:val="Bibliography"/>
    <w:qFormat/>
    <w:pPr>
      <w:spacing w:before="0" w:after="80" w:lineRule="auto" w:line="276"/>
      <w:ind w:left="360" w:hanging="360"/>
    </w:pPr>
    <w:rPr>
      <w:rFonts w:ascii="Calibri" w:hAnsi="Calibri" w:eastAsia="Calibri" w:cs="Calibri" w:hint="eastAsia"/>
      <w:color w:val="1F2937"/>
      <w:sz w:val="19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Rule="auto" w:line="240"/>
      <w:outlineLvl w:val="0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Rule="auto" w:line="240"/>
      <w:outlineLvl w:val="1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Rule="auto" w:line="240"/>
      <w:outlineLvl w:val="2"/>
    </w:pPr>
    <w:rPr>
      <w:rFonts w:cstheme="majorBidi" w:eastAsiaTheme="majorEastAsia" w:ascii="Calibri" w:hAnsi="Calibri" w:eastAsia="Calibri" w:cs="Calibri" w:hint="eastAsia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Rule="auto" w:line="300"/>
      <w:ind w:firstLine="0" w:left="259" w:right="115"/>
    </w:pPr>
    <w:rPr>
      <w:rFonts w:ascii="Calibri" w:hAnsi="Calibri" w:eastAsia="Calibri" w:cs="Calibri" w:hint="eastAsia"/>
      <w:color w:val="374151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eastAsia="Calibri" w:cs="Calibri" w:hint="eastAsia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Lines/>
      <w:spacing w:after="160" w:before="100" w:lineRule="auto" w:line="276"/>
      <w:jc w:val="center"/>
    </w:pPr>
    <w:rPr>
      <w:rFonts w:ascii="Calibri" w:hAnsi="Calibri" w:eastAsia="Calibri" w:cs="Calibri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 w:eastAsia="Calibri" w:cs="Calibri" w:hint="eastAsia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Calibri" w:hAnsi="Calibri" w:eastAsia="Calibri" w:cs="Calibri" w:hint="eastAsia"/>
    </w:rPr>
  </w:style>
  <w:style w:styleId="Hyperlink" w:type="character">
    <w:name w:val="Hyperlink"/>
    <w:basedOn w:val="BodyTextChar"/>
    <w:rPr>
      <w:color w:themeColor="accent1" w:val="4F81BD"/>
      <w:rFonts w:ascii="Calibri" w:hAnsi="Calibri" w:eastAsia="Calibri" w:cs="Calibri" w:hint="eastAsia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 w:cs="Calibri" w:hint="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DataTypeTok">
    <w:name w:val="DataTypeTok"/>
    <w:basedOn w:val="VerbatimChar"/>
    <w:rPr>
      <w:color w:val="902000"/>
      <w:rFonts w:ascii="Calibri" w:hAnsi="Calibri" w:eastAsia="Calibri" w:cs="Calibri" w:hint="eastAsia"/>
    </w:rPr>
  </w:style>
  <w:style w:type="character" w:customStyle="1" w:styleId="DecValTok">
    <w:name w:val="DecVal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BaseNTok">
    <w:name w:val="BaseN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FloatTok">
    <w:name w:val="Float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ConstantTok">
    <w:name w:val="ConstantTok"/>
    <w:basedOn w:val="VerbatimChar"/>
    <w:rPr>
      <w:color w:val="880000"/>
      <w:rFonts w:ascii="Calibri" w:hAnsi="Calibri" w:eastAsia="Calibri" w:cs="Calibri" w:hint="eastAsia"/>
    </w:rPr>
  </w:style>
  <w:style w:type="character" w:customStyle="1" w:styleId="CharTok">
    <w:name w:val="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CharTok">
    <w:name w:val="Special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tringTok">
    <w:name w:val="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eastAsia="Calibri" w:cs="Calibri" w:hint="eastAsia"/>
    </w:rPr>
  </w:style>
  <w:style w:type="character" w:customStyle="1" w:styleId="ImportTok">
    <w:name w:val="ImportTok"/>
    <w:basedOn w:val="VerbatimChar"/>
    <w:rPr>
      <w:b/>
      <w:color w:val="008000"/>
      <w:rFonts w:ascii="Calibri" w:hAnsi="Calibri" w:eastAsia="Calibri" w:cs="Calibri" w:hint="eastAsia"/>
    </w:rPr>
  </w:style>
  <w:style w:type="character" w:customStyle="1" w:styleId="CommentTok">
    <w:name w:val="CommentTok"/>
    <w:basedOn w:val="VerbatimChar"/>
    <w:rPr>
      <w:i/>
      <w:color w:val="60a0b0"/>
      <w:rFonts w:ascii="Calibri" w:hAnsi="Calibri" w:eastAsia="Calibri" w:cs="Calibri" w:hint="eastAsia"/>
    </w:rPr>
  </w:style>
  <w:style w:type="character" w:customStyle="1" w:styleId="DocumentationTok">
    <w:name w:val="DocumentationTok"/>
    <w:basedOn w:val="VerbatimChar"/>
    <w:rPr>
      <w:i/>
      <w:color w:val="ba2121"/>
      <w:rFonts w:ascii="Calibri" w:hAnsi="Calibri" w:eastAsia="Calibri" w:cs="Calibri" w:hint="eastAsia"/>
    </w:rPr>
  </w:style>
  <w:style w:type="character" w:customStyle="1" w:styleId="AnnotationTok">
    <w:name w:val="Annot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CommentVarTok">
    <w:name w:val="CommentVar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OtherTok">
    <w:name w:val="OtherTok"/>
    <w:basedOn w:val="VerbatimChar"/>
    <w:rPr>
      <w:color w:val="007020"/>
      <w:rFonts w:ascii="Calibri" w:hAnsi="Calibri" w:eastAsia="Calibri" w:cs="Calibri" w:hint="eastAsia"/>
    </w:rPr>
  </w:style>
  <w:style w:type="character" w:customStyle="1" w:styleId="FunctionTok">
    <w:name w:val="FunctionTok"/>
    <w:basedOn w:val="VerbatimChar"/>
    <w:rPr>
      <w:color w:val="06287e"/>
      <w:rFonts w:ascii="Calibri" w:hAnsi="Calibri" w:eastAsia="Calibri" w:cs="Calibri" w:hint="eastAsia"/>
    </w:rPr>
  </w:style>
  <w:style w:type="character" w:customStyle="1" w:styleId="VariableTok">
    <w:name w:val="VariableTok"/>
    <w:basedOn w:val="VerbatimChar"/>
    <w:rPr>
      <w:color w:val="19177c"/>
      <w:rFonts w:ascii="Calibri" w:hAnsi="Calibri" w:eastAsia="Calibri" w:cs="Calibri" w:hint="eastAsia"/>
    </w:rPr>
  </w:style>
  <w:style w:type="character" w:customStyle="1" w:styleId="ControlFlowTok">
    <w:name w:val="ControlFlow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OperatorTok">
    <w:name w:val="OperatorTok"/>
    <w:basedOn w:val="VerbatimChar"/>
    <w:rPr>
      <w:color w:val="666666"/>
      <w:rFonts w:ascii="Calibri" w:hAnsi="Calibri" w:eastAsia="Calibri" w:cs="Calibri" w:hint="eastAsia"/>
    </w:rPr>
  </w:style>
  <w:style w:type="character" w:customStyle="1" w:styleId="BuiltInTok">
    <w:name w:val="BuiltInTok"/>
    <w:basedOn w:val="VerbatimChar"/>
    <w:rPr>
      <w:color w:val="008000"/>
      <w:rFonts w:ascii="Calibri" w:hAnsi="Calibri" w:eastAsia="Calibri" w:cs="Calibri" w:hint="eastAsia"/>
    </w:rPr>
  </w:style>
  <w:style w:type="character" w:customStyle="1" w:styleId="ExtensionTok">
    <w:name w:val="ExtensionTok"/>
    <w:basedOn w:val="VerbatimChar"/>
    <w:rPr>
      <w:rFonts w:ascii="Calibri" w:hAnsi="Calibri" w:eastAsia="Calibri" w:cs="Calibri" w:hint="eastAsia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eastAsia="Calibri" w:cs="Calibri" w:hint="eastAsia"/>
    </w:rPr>
  </w:style>
  <w:style w:type="character" w:customStyle="1" w:styleId="AttributeTok">
    <w:name w:val="AttributeTok"/>
    <w:basedOn w:val="VerbatimChar"/>
    <w:rPr>
      <w:color w:val="7d9029"/>
      <w:rFonts w:ascii="Calibri" w:hAnsi="Calibri" w:eastAsia="Calibri" w:cs="Calibri" w:hint="eastAsia"/>
    </w:rPr>
  </w:style>
  <w:style w:type="character" w:customStyle="1" w:styleId="RegionMarkerTok">
    <w:name w:val="RegionMarkerTok"/>
    <w:basedOn w:val="VerbatimChar"/>
    <w:rPr>
      <w:rFonts w:ascii="Calibri" w:hAnsi="Calibri" w:eastAsia="Calibri" w:cs="Calibri" w:hint="eastAsia"/>
    </w:rPr>
  </w:style>
  <w:style w:type="character" w:customStyle="1" w:styleId="InformationTok">
    <w:name w:val="Inform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WarningTok">
    <w:name w:val="Warning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AlertTok">
    <w:name w:val="Alert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ErrorTok">
    <w:name w:val="Error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NormalTok">
    <w:name w:val="NormalTok"/>
    <w:basedOn w:val="VerbatimChar"/>
    <w:rPr>
      <w:rFonts w:ascii="Calibri" w:hAnsi="Calibri" w:eastAsia="Calibri" w:cs="Calibri" w:hint="eastAsia"/>
    </w:rPr>
  </w:style>
  <w:style w:type="paragraph" w:customStyle="1" w:styleId="RouteCKicker">
    <w:name w:val="Route C Kicker"/>
    <w:basedOn w:val="Normal"/>
    <w:pPr>
      <w:keepNext/>
      <w:spacing w:before="0" w:after="100" w:lineRule="auto" w:line="240"/>
    </w:pPr>
    <w:rPr>
      <w:rFonts w:ascii="Calibri" w:hAnsi="Calibri" w:eastAsia="Calibri" w:cs="Calibri" w:hint="eastAsia"/>
      <w:b/>
      <w:color w:val="2E74B5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17" Type="http://schemas.openxmlformats.org/officeDocument/2006/relationships/image" Target="media/rId17.png"/><Relationship Id="rId100" Type="http://schemas.openxmlformats.org/officeDocument/2006/relationships/hyperlink" Target="https://63dac.conference-program.com/presentation/?id=RESEARCH2265\&amp;sess=sess108" TargetMode="External"/><Relationship Id="rId96" Type="http://schemas.openxmlformats.org/officeDocument/2006/relationships/hyperlink" Target="https://arxiv.org/abs/2209.06478" TargetMode="External"/><Relationship Id="rId66" Type="http://schemas.openxmlformats.org/officeDocument/2006/relationships/hyperlink" Target="https://arxiv.org/abs/2510.14894" TargetMode="External"/><Relationship Id="rId84" Type="http://schemas.openxmlformats.org/officeDocument/2006/relationships/hyperlink" Target="https://arxiv.org/abs/2604.04683" TargetMode="External"/><Relationship Id="rId78" Type="http://schemas.openxmlformats.org/officeDocument/2006/relationships/hyperlink" Target="https://doi.org/10.1007/978-3-319-41321-1_4" TargetMode="External"/><Relationship Id="rId74" Type="http://schemas.openxmlformats.org/officeDocument/2006/relationships/hyperlink" Target="https://doi.org/10.1007/978-3-662-44371-2_31" TargetMode="External"/><Relationship Id="rId86" Type="http://schemas.openxmlformats.org/officeDocument/2006/relationships/hyperlink" Target="https://doi.org/10.1007/s002360050048" TargetMode="External"/><Relationship Id="rId72" Type="http://schemas.openxmlformats.org/officeDocument/2006/relationships/hyperlink" Target="https://doi.org/10.1016/j.ins.2026.123180" TargetMode="External"/><Relationship Id="rId98" Type="http://schemas.openxmlformats.org/officeDocument/2006/relationships/hyperlink" Target="https://doi.org/10.1109/TKDE.2021.3126607" TargetMode="External"/><Relationship Id="rId92" Type="http://schemas.openxmlformats.org/officeDocument/2006/relationships/hyperlink" Target="https://doi.org/10.1109/TKDE.2022.3221148" TargetMode="External"/><Relationship Id="rId80" Type="http://schemas.openxmlformats.org/officeDocument/2006/relationships/hyperlink" Target="https://doi.org/10.1137/130930352" TargetMode="External"/><Relationship Id="rId90" Type="http://schemas.openxmlformats.org/officeDocument/2006/relationships/hyperlink" Target="https://doi.org/10.1145/3018661.3018731" TargetMode="External"/><Relationship Id="rId56" Type="http://schemas.openxmlformats.org/officeDocument/2006/relationships/hyperlink" Target="https://doi.org/10.1145/3133956.3133982" TargetMode="External"/><Relationship Id="rId76" Type="http://schemas.openxmlformats.org/officeDocument/2006/relationships/hyperlink" Target="https://doi.org/10.1145/3658644.3690281" TargetMode="External"/><Relationship Id="rId104" Type="http://schemas.openxmlformats.org/officeDocument/2006/relationships/hyperlink" Target="https://doi.org/10.1145/3719027.3765025" TargetMode="External"/><Relationship Id="rId70" Type="http://schemas.openxmlformats.org/officeDocument/2006/relationships/hyperlink" Target="https://doi.org/10.1145/3721146.3721948" TargetMode="External"/><Relationship Id="rId102" Type="http://schemas.openxmlformats.org/officeDocument/2006/relationships/hyperlink" Target="https://doi.org/10.1145/3797905.3807876" TargetMode="External"/><Relationship Id="rId64" Type="http://schemas.openxmlformats.org/officeDocument/2006/relationships/hyperlink" Target="https://doi.org/10.1145/3805621.3807642" TargetMode="External"/><Relationship Id="rId60" Type="http://schemas.openxmlformats.org/officeDocument/2006/relationships/hyperlink" Target="https://doi.org/10.3390/electronics15122517" TargetMode="External"/><Relationship Id="rId68" Type="http://schemas.openxmlformats.org/officeDocument/2006/relationships/hyperlink" Target="https://eprint.iacr.org/2012/144" TargetMode="External"/><Relationship Id="rId88" Type="http://schemas.openxmlformats.org/officeDocument/2006/relationships/hyperlink" Target="https://github.com/openfheorg/openfhe-development/tree/1306d14f8c26bb6150d3e6ad54f28dfe1007689e" TargetMode="External"/><Relationship Id="rId54" Type="http://schemas.openxmlformats.org/officeDocument/2006/relationships/hyperlink" Target="https://mgarland.org/files/papers/nvr-2008-004.pdf" TargetMode="External"/><Relationship Id="rId94" Type="http://schemas.openxmlformats.org/officeDocument/2006/relationships/hyperlink" Target="https://snap.stanford.edu/data/sx-stackoverflow.html" TargetMode="External"/><Relationship Id="rId58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62" Type="http://schemas.openxmlformats.org/officeDocument/2006/relationships/hyperlink" Target="https://www.usenix.org/conference/osdi18/presentation/crooks" TargetMode="External"/><Relationship Id="rId82" Type="http://schemas.openxmlformats.org/officeDocument/2006/relationships/hyperlink" Target="https://www.usenix.org/conference/usenixsecurity24/presentation/liu-dongli" TargetMode="External"/><Relationship Id="rId53" Type="http://schemas.openxmlformats.org/officeDocument/2006/relationships/hyperlink" Target="references.bib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63dac.conference-program.com/presentation/?id=RESEARCH2265\&amp;sess=sess108" TargetMode="External"/><Relationship Id="rId96" Type="http://schemas.openxmlformats.org/officeDocument/2006/relationships/hyperlink" Target="https://arxiv.org/abs/2209.06478" TargetMode="External"/><Relationship Id="rId66" Type="http://schemas.openxmlformats.org/officeDocument/2006/relationships/hyperlink" Target="https://arxiv.org/abs/2510.14894" TargetMode="External"/><Relationship Id="rId84" Type="http://schemas.openxmlformats.org/officeDocument/2006/relationships/hyperlink" Target="https://arxiv.org/abs/2604.04683" TargetMode="External"/><Relationship Id="rId78" Type="http://schemas.openxmlformats.org/officeDocument/2006/relationships/hyperlink" Target="https://doi.org/10.1007/978-3-319-41321-1_4" TargetMode="External"/><Relationship Id="rId74" Type="http://schemas.openxmlformats.org/officeDocument/2006/relationships/hyperlink" Target="https://doi.org/10.1007/978-3-662-44371-2_31" TargetMode="External"/><Relationship Id="rId86" Type="http://schemas.openxmlformats.org/officeDocument/2006/relationships/hyperlink" Target="https://doi.org/10.1007/s002360050048" TargetMode="External"/><Relationship Id="rId72" Type="http://schemas.openxmlformats.org/officeDocument/2006/relationships/hyperlink" Target="https://doi.org/10.1016/j.ins.2026.123180" TargetMode="External"/><Relationship Id="rId98" Type="http://schemas.openxmlformats.org/officeDocument/2006/relationships/hyperlink" Target="https://doi.org/10.1109/TKDE.2021.3126607" TargetMode="External"/><Relationship Id="rId92" Type="http://schemas.openxmlformats.org/officeDocument/2006/relationships/hyperlink" Target="https://doi.org/10.1109/TKDE.2022.3221148" TargetMode="External"/><Relationship Id="rId80" Type="http://schemas.openxmlformats.org/officeDocument/2006/relationships/hyperlink" Target="https://doi.org/10.1137/130930352" TargetMode="External"/><Relationship Id="rId90" Type="http://schemas.openxmlformats.org/officeDocument/2006/relationships/hyperlink" Target="https://doi.org/10.1145/3018661.3018731" TargetMode="External"/><Relationship Id="rId56" Type="http://schemas.openxmlformats.org/officeDocument/2006/relationships/hyperlink" Target="https://doi.org/10.1145/3133956.3133982" TargetMode="External"/><Relationship Id="rId76" Type="http://schemas.openxmlformats.org/officeDocument/2006/relationships/hyperlink" Target="https://doi.org/10.1145/3658644.3690281" TargetMode="External"/><Relationship Id="rId104" Type="http://schemas.openxmlformats.org/officeDocument/2006/relationships/hyperlink" Target="https://doi.org/10.1145/3719027.3765025" TargetMode="External"/><Relationship Id="rId70" Type="http://schemas.openxmlformats.org/officeDocument/2006/relationships/hyperlink" Target="https://doi.org/10.1145/3721146.3721948" TargetMode="External"/><Relationship Id="rId102" Type="http://schemas.openxmlformats.org/officeDocument/2006/relationships/hyperlink" Target="https://doi.org/10.1145/3797905.3807876" TargetMode="External"/><Relationship Id="rId64" Type="http://schemas.openxmlformats.org/officeDocument/2006/relationships/hyperlink" Target="https://doi.org/10.1145/3805621.3807642" TargetMode="External"/><Relationship Id="rId60" Type="http://schemas.openxmlformats.org/officeDocument/2006/relationships/hyperlink" Target="https://doi.org/10.3390/electronics15122517" TargetMode="External"/><Relationship Id="rId68" Type="http://schemas.openxmlformats.org/officeDocument/2006/relationships/hyperlink" Target="https://eprint.iacr.org/2012/144" TargetMode="External"/><Relationship Id="rId88" Type="http://schemas.openxmlformats.org/officeDocument/2006/relationships/hyperlink" Target="https://github.com/openfheorg/openfhe-development/tree/1306d14f8c26bb6150d3e6ad54f28dfe1007689e" TargetMode="External"/><Relationship Id="rId54" Type="http://schemas.openxmlformats.org/officeDocument/2006/relationships/hyperlink" Target="https://mgarland.org/files/papers/nvr-2008-004.pdf" TargetMode="External"/><Relationship Id="rId94" Type="http://schemas.openxmlformats.org/officeDocument/2006/relationships/hyperlink" Target="https://snap.stanford.edu/data/sx-stackoverflow.html" TargetMode="External"/><Relationship Id="rId58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62" Type="http://schemas.openxmlformats.org/officeDocument/2006/relationships/hyperlink" Target="https://www.usenix.org/conference/osdi18/presentation/crooks" TargetMode="External"/><Relationship Id="rId82" Type="http://schemas.openxmlformats.org/officeDocument/2006/relationships/hyperlink" Target="https://www.usenix.org/conference/usenixsecurity24/presentation/liu-dongli" TargetMode="External"/><Relationship Id="rId53" Type="http://schemas.openxmlformats.org/officeDocument/2006/relationships/hyperlink" Target="references.bi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Version-Bound Maintenance for Mutable Homomorphic Sparse Matrix–Vector Multiplication: A Fail-Closed Evaluation Boundary</dc:title>
  <dc:creator/>
  <cp:keywords>homomorphic encryption; sparse matrix-vector multiplication; mutable sparse matrices; reproducible evaluation</cp:keywords>
  <dcterms:created xsi:type="dcterms:W3CDTF">2026-08-31T11:45:35Z</dcterms:created>
  <dcterms:modified xsi:type="dcterms:W3CDTF">2026-08-31T11:45:35Z</dcterms:modified>
  <cp:lastModifiedBy/>
  <dc:subject>Route C methods and evidence-boundary working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link-citations">
    <vt:lpwstr>True</vt:lpwstr>
  </property>
</Properties>
</file>